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432" w:hanging="10"/>
        <w:jc w:val="left"/>
      </w:pPr>
      <w:r>
        <w:rPr>
          <w:rFonts w:ascii="LinBiolinumTB" w:hAnsi="LinBiolinumTB" w:eastAsia="LinBiolinumTB"/>
          <w:b/>
          <w:i w:val="0"/>
        </w:rPr>
        <w:t xml:space="preserve">Analyzing the Direct and Transitive Impact of Vulnerabilities onto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7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34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1:10</w:t>
            </w:r>
          </w:p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  <w:tr>
        <w:tc>
          <w:tcPr>
            <w:tcW w:type="dxa" w:w="1560"/>
            <w:vMerge/>
            <w:tcBorders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  <w:tr>
        <w:tc>
          <w:tcPr>
            <w:tcW w:type="dxa" w:w="1560"/>
            <w:vMerge/>
            <w:tcBorders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49"/>
        <w:gridCol w:w="1349"/>
        <w:gridCol w:w="1349"/>
        <w:gridCol w:w="1349"/>
        <w:gridCol w:w="1349"/>
        <w:gridCol w:w="1349"/>
        <w:gridCol w:w="1349"/>
      </w:tblGrid>
      <w:tr>
        <w:trPr>
          <w:trHeight w:hRule="exact" w:val="31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1:12</w:t>
            </w:r>
          </w:p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  <w:tr>
        <w:tc>
          <w:tcPr>
            <w:tcW w:type="dxa" w:w="1349"/>
            <w:vMerge/>
            <w:tcBorders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  <w:tr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  <w:tr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  <w:tr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  <w:tr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  <w:tc>
          <w:tcPr>
            <w:tcW w:type="dxa" w:w="1349"/>
          </w:tcPr>
          <w:p/>
        </w:tc>
      </w:tr>
    </w:tbl>
    <w:p>
      <w:pPr>
        <w:sectPr>
          <w:pgSz w:w="12240" w:h="15840"/>
          <w:pgMar w:top="814" w:right="1440" w:bottom="113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06"/>
        </w:trPr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4.00000000000006" w:type="dxa"/>
            </w:tblPr>
            <w:tblGrid>
              <w:gridCol w:w="1065"/>
              <w:gridCol w:w="1065"/>
              <w:gridCol w:w="1065"/>
              <w:gridCol w:w="1065"/>
            </w:tblGrid>
            <w:tr>
              <w:trPr>
                <w:trHeight w:hRule="exact" w:val="228"/>
              </w:trPr>
              <w:tc>
                <w:tcPr>
                  <w:tcW w:type="dxa" w:w="1166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LinLibertineTB" w:hAnsi="LinLibertineTB" w:eastAsia="LinLibertineTB"/>
                      <w:b/>
                      <w:i w:val="0"/>
                    </w:rPr>
                    <w:t>Maven</w:t>
                  </w:r>
                </w:p>
              </w:tc>
              <w:tc>
                <w:tcPr>
                  <w:tcW w:type="dxa" w:w="1065"/>
                </w:tcPr>
                <w:p/>
              </w:tc>
              <w:tc>
                <w:tcPr>
                  <w:tcW w:type="dxa" w:w="1065"/>
                </w:tcPr>
                <w:p/>
              </w:tc>
            </w:tr>
          </w:tbl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>
        <w:trPr>
          <w:trHeight w:hRule="exact" w:val="314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3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1:14</w:t>
            </w:r>
          </w:p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  <w:tr>
        <w:tc>
          <w:tcPr>
            <w:tcW w:type="dxa" w:w="429"/>
            <w:vMerge/>
            <w:tcBorders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  <w:tc>
          <w:tcPr>
            <w:tcW w:type="dxa" w:w="429"/>
          </w:tcPr>
          <w:p/>
        </w:tc>
      </w:tr>
    </w:tbl>
    <w:p>
      <w:pPr>
        <w:sectPr>
          <w:pgSz w:w="12240" w:h="15840"/>
          <w:pgMar w:top="812" w:right="1440" w:bottom="113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474"/>
        </w:trPr>
        <w:tc>
          <w:tcPr>
            <w:tcW w:type="dxa" w:w="33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>
        <w:trPr>
          <w:trHeight w:hRule="exact" w:val="706"/>
        </w:trPr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0" w:after="0"/>
              <w:ind w:left="20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</w:rPr>
              <w:t>100%</w:t>
            </w:r>
          </w:p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  <w:tr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  <w:tc>
          <w:tcPr>
            <w:tcW w:type="dxa" w:w="1180"/>
          </w:tcPr>
          <w:p/>
        </w:tc>
      </w:tr>
    </w:tbl>
    <w:p>
      <w:pPr>
        <w:sectPr>
          <w:pgSz w:w="12240" w:h="15840"/>
          <w:pgMar w:top="808" w:right="1440" w:bottom="113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34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1:18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  <w:vMerge/>
            <w:tcBorders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  <w:vMerge/>
            <w:tcBorders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  <w:vMerge/>
            <w:tcBorders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7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04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6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4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6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Analyzing Vulnerability Impact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0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