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72" w:lineRule="exact" w:before="0" w:after="148"/>
        <w:ind w:left="0" w:right="144" w:firstLine="0"/>
        <w:jc w:val="center"/>
      </w:pPr>
      <w:r>
        <w:rPr>
          <w:rFonts w:ascii="LinBiolinumTB" w:hAnsi="LinBiolinumTB" w:eastAsia="LinBiolinumTB"/>
          <w:b/>
          <w:i w:val="0"/>
        </w:rPr>
        <w:t xml:space="preserve">Anvil - System Architecture and Experiences from Deployment </w:t>
      </w:r>
    </w:p>
    <w:p>
      <w:pPr>
        <w:sectPr>
          <w:pgSz w:w="12240" w:h="15840"/>
          <w:pgMar w:top="828" w:right="1026" w:bottom="824" w:left="10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3381"/>
        <w:gridCol w:w="3381"/>
        <w:gridCol w:w="3381"/>
      </w:tblGrid>
      <w:tr>
        <w:trPr>
          <w:trHeight w:hRule="exact" w:val="276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1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PEARC ’22, July 10–14, 2022, Boston, MA, USA</w:t>
            </w:r>
          </w:p>
        </w:tc>
        <w:tc>
          <w:tcPr>
            <w:tcW w:type="dxa" w:w="3381"/>
          </w:tcPr>
          <w:p/>
        </w:tc>
        <w:tc>
          <w:tcPr>
            <w:tcW w:type="dxa" w:w="3381"/>
          </w:tcPr>
          <w:p/>
        </w:tc>
      </w:tr>
      <w:tr>
        <w:tc>
          <w:tcPr>
            <w:tcW w:type="dxa" w:w="3381"/>
          </w:tcPr>
          <w:p/>
        </w:tc>
        <w:tc>
          <w:tcPr>
            <w:tcW w:type="dxa" w:w="3381"/>
          </w:tcPr>
          <w:p/>
        </w:tc>
        <w:tc>
          <w:tcPr>
            <w:tcW w:type="dxa" w:w="3381"/>
          </w:tcPr>
          <w:p/>
        </w:tc>
      </w:tr>
    </w:tbl>
    <w:p>
      <w:pPr>
        <w:sectPr>
          <w:pgSz w:w="12240" w:h="15840"/>
          <w:pgMar w:top="622" w:right="1026" w:bottom="824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26" w:bottom="824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706"/>
        <w:ind w:left="2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Anvil - System Architecture and Experiences from Deployment and Early User Operations</w:t>
      </w:r>
    </w:p>
    <w:p>
      <w:pPr>
        <w:sectPr>
          <w:type w:val="continuous"/>
          <w:pgSz w:w="12240" w:h="15840"/>
          <w:pgMar w:top="622" w:right="1026" w:bottom="824" w:left="1070" w:header="720" w:footer="720" w:gutter="0"/>
          <w:cols w:num="2" w:equalWidth="0">
            <w:col w:w="6292" w:space="0"/>
            <w:col w:w="38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2536"/>
        <w:gridCol w:w="2536"/>
        <w:gridCol w:w="2536"/>
        <w:gridCol w:w="2536"/>
      </w:tblGrid>
      <w:tr>
        <w:trPr>
          <w:trHeight w:hRule="exact" w:val="316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16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PEARC ’22, July 10–14, 2022, Boston, MA, USA</w:t>
            </w:r>
          </w:p>
        </w:tc>
        <w:tc>
          <w:tcPr>
            <w:tcW w:type="dxa" w:w="2536"/>
          </w:tcPr>
          <w:p/>
        </w:tc>
        <w:tc>
          <w:tcPr>
            <w:tcW w:type="dxa" w:w="2536"/>
          </w:tcPr>
          <w:p/>
        </w:tc>
        <w:tc>
          <w:tcPr>
            <w:tcW w:type="dxa" w:w="2536"/>
          </w:tcPr>
          <w:p/>
        </w:tc>
      </w:tr>
      <w:tr>
        <w:tc>
          <w:tcPr>
            <w:tcW w:type="dxa" w:w="2536"/>
          </w:tcPr>
          <w:p/>
        </w:tc>
        <w:tc>
          <w:tcPr>
            <w:tcW w:type="dxa" w:w="2536"/>
          </w:tcPr>
          <w:p/>
        </w:tc>
        <w:tc>
          <w:tcPr>
            <w:tcW w:type="dxa" w:w="2536"/>
          </w:tcPr>
          <w:p/>
        </w:tc>
        <w:tc>
          <w:tcPr>
            <w:tcW w:type="dxa" w:w="2536"/>
          </w:tcPr>
          <w:p/>
        </w:tc>
      </w:tr>
    </w:tbl>
    <w:p>
      <w:pPr>
        <w:sectPr>
          <w:pgSz w:w="12240" w:h="15840"/>
          <w:pgMar w:top="622" w:right="1026" w:bottom="824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18" w:bottom="824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0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</w:rPr>
        <w:t>Anvil - System Architecture and Experiences from Deployment and Early User Operations</w:t>
      </w:r>
    </w:p>
    <w:p>
      <w:pPr>
        <w:sectPr>
          <w:type w:val="continuous"/>
          <w:pgSz w:w="12240" w:h="15840"/>
          <w:pgMar w:top="622" w:right="1018" w:bottom="824" w:left="1070" w:header="720" w:footer="720" w:gutter="0"/>
          <w:cols w:num="2" w:equalWidth="0">
            <w:col w:w="5226" w:space="0"/>
            <w:col w:w="49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34"/>
        <w:gridCol w:w="2534"/>
        <w:gridCol w:w="2534"/>
        <w:gridCol w:w="2534"/>
      </w:tblGrid>
      <w:tr>
        <w:trPr>
          <w:trHeight w:hRule="exact" w:val="316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PEARC ’22, July 10–14, 2022, Boston, MA, USA</w:t>
            </w:r>
          </w:p>
        </w:tc>
        <w:tc>
          <w:tcPr>
            <w:tcW w:type="dxa" w:w="2534"/>
          </w:tcPr>
          <w:p/>
        </w:tc>
        <w:tc>
          <w:tcPr>
            <w:tcW w:type="dxa" w:w="2534"/>
          </w:tcPr>
          <w:p/>
        </w:tc>
        <w:tc>
          <w:tcPr>
            <w:tcW w:type="dxa" w:w="2534"/>
          </w:tcPr>
          <w:p/>
        </w:tc>
      </w:tr>
      <w:tr>
        <w:tc>
          <w:tcPr>
            <w:tcW w:type="dxa" w:w="2534"/>
          </w:tcPr>
          <w:p/>
        </w:tc>
        <w:tc>
          <w:tcPr>
            <w:tcW w:type="dxa" w:w="2534"/>
          </w:tcPr>
          <w:p/>
        </w:tc>
        <w:tc>
          <w:tcPr>
            <w:tcW w:type="dxa" w:w="2534"/>
          </w:tcPr>
          <w:p/>
        </w:tc>
        <w:tc>
          <w:tcPr>
            <w:tcW w:type="dxa" w:w="2534"/>
          </w:tcPr>
          <w:p/>
        </w:tc>
      </w:tr>
    </w:tbl>
    <w:p>
      <w:pPr>
        <w:sectPr>
          <w:pgSz w:w="12240" w:h="15840"/>
          <w:pgMar w:top="622" w:right="1026" w:bottom="824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7420" w:val="left"/>
        </w:tabs>
        <w:autoSpaceDE w:val="0"/>
        <w:widowControl/>
        <w:spacing w:line="138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Anvil - System Architecture and Experiences from Deployment and Early User Operations </w:t>
      </w:r>
    </w:p>
    <w:p>
      <w:pPr>
        <w:sectPr>
          <w:pgSz w:w="12240" w:h="15840"/>
          <w:pgMar w:top="622" w:right="1026" w:bottom="824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autoSpaceDN w:val="0"/>
        <w:tabs>
          <w:tab w:pos="9466" w:val="left"/>
        </w:tabs>
        <w:autoSpaceDE w:val="0"/>
        <w:widowControl/>
        <w:spacing w:line="138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 xml:space="preserve">PEARC ’22, July 10–14, 2022, Boston, MA, USA </w:t>
      </w:r>
    </w:p>
    <w:p>
      <w:pPr>
        <w:sectPr>
          <w:pgSz w:w="12240" w:h="15840"/>
          <w:pgMar w:top="622" w:right="1024" w:bottom="824" w:left="10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2"/>
        <w:ind w:left="0" w:right="0"/>
      </w:pPr>
    </w:p>
    <w:p>
      <w:pPr>
        <w:sectPr>
          <w:pgSz w:w="12240" w:h="15840"/>
          <w:pgMar w:top="622" w:right="1032" w:bottom="1440" w:left="10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8" w:lineRule="exact" w:before="0" w:after="326"/>
        <w:ind w:left="0" w:right="0" w:firstLine="0"/>
        <w:jc w:val="center"/>
      </w:pPr>
      <w:r>
        <w:rPr>
          <w:rFonts w:ascii="LinBiolinumT" w:hAnsi="LinBiolinumT" w:eastAsia="LinBiolinumT"/>
          <w:b w:val="0"/>
          <w:i w:val="0"/>
        </w:rPr>
        <w:t>Anvil - System Architecture and Experiences from Deployment and Early User Operations</w:t>
      </w:r>
    </w:p>
    <w:sectPr w:rsidR="00FC693F" w:rsidRPr="0006063C" w:rsidSect="00034616">
      <w:type w:val="continuous"/>
      <w:pgSz w:w="12240" w:h="15840"/>
      <w:pgMar w:top="622" w:right="1032" w:bottom="1440" w:left="1072" w:header="720" w:footer="720" w:gutter="0"/>
      <w:cols w:num="2" w:equalWidth="0">
        <w:col w:w="5224" w:space="0"/>
        <w:col w:w="491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