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72" w:lineRule="exact" w:before="0" w:after="60"/>
        <w:ind w:left="576" w:right="576" w:firstLine="0"/>
        <w:jc w:val="center"/>
      </w:pPr>
      <w:r>
        <w:rPr>
          <w:rFonts w:ascii="LinBiolinumTB" w:hAnsi="LinBiolinumTB" w:eastAsia="LinBiolinumTB"/>
          <w:b/>
          <w:i w:val="0"/>
        </w:rPr>
        <w:t xml:space="preserve">Integrating End-to-End Exascale SDN into the LHC Data </w:t>
      </w:r>
    </w:p>
    <w:p>
      <w:pPr>
        <w:sectPr>
          <w:pgSz w:w="12240" w:h="15840"/>
          <w:pgMar w:top="828" w:right="1026" w:bottom="822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8732" w:val="left"/>
        </w:tabs>
        <w:autoSpaceDE w:val="0"/>
        <w:widowControl/>
        <w:spacing w:line="138" w:lineRule="exact" w:before="0" w:after="0"/>
        <w:ind w:left="2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PEARC ’22, July 10–14, 2022, Boston, MA, USA </w:t>
      </w:r>
    </w:p>
    <w:p>
      <w:pPr>
        <w:sectPr>
          <w:pgSz w:w="12240" w:h="15840"/>
          <w:pgMar w:top="622" w:right="1026" w:bottom="822" w:left="10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7422" w:val="left"/>
        </w:tabs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Integrating Exascale SDN into LHC Data Distribution </w:t>
      </w:r>
    </w:p>
    <w:p>
      <w:pPr>
        <w:sectPr>
          <w:pgSz w:w="12240" w:h="15840"/>
          <w:pgMar w:top="622" w:right="1044" w:bottom="822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8718" w:val="left"/>
        </w:tabs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PEARC ’22, July 10–14, 2022, Boston, MA, USA </w:t>
      </w:r>
    </w:p>
    <w:sectPr w:rsidR="00FC693F" w:rsidRPr="0006063C" w:rsidSect="00034616">
      <w:pgSz w:w="12240" w:h="15840"/>
      <w:pgMar w:top="622" w:right="1026" w:bottom="1440" w:left="107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