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18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174" w:right="1008" w:firstLine="0"/>
        <w:jc w:val="left"/>
      </w:pPr>
      <w:r>
        <w:rPr>
          <w:rFonts w:ascii="LinBiolinumTB" w:hAnsi="LinBiolinumTB" w:eastAsia="LinBiolinumTB"/>
          <w:b/>
          <w:i w:val="0"/>
        </w:rPr>
        <w:t xml:space="preserve">Defining a Knowledge Graph Development Process Through a </w:t>
      </w:r>
    </w:p>
    <w:p>
      <w:pPr>
        <w:sectPr>
          <w:pgSz w:w="12240" w:h="15840"/>
          <w:pgMar w:top="1038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77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2.2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p>
      <w:pPr>
        <w:autoSpaceDN w:val="0"/>
        <w:tabs>
          <w:tab w:pos="404" w:val="left"/>
          <w:tab w:pos="620" w:val="left"/>
        </w:tabs>
        <w:autoSpaceDE w:val="0"/>
        <w:widowControl/>
        <w:spacing w:line="168" w:lineRule="exact" w:before="0" w:after="0"/>
        <w:ind w:left="17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4</w:t>
      </w:r>
    </w:p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6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6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8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62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p>
      <w:pPr>
        <w:autoSpaceDN w:val="0"/>
        <w:tabs>
          <w:tab w:pos="478" w:val="left"/>
          <w:tab w:pos="694" w:val="left"/>
        </w:tabs>
        <w:autoSpaceDE w:val="0"/>
        <w:widowControl/>
        <w:spacing w:line="168" w:lineRule="exact" w:before="0" w:after="0"/>
        <w:ind w:left="17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10</w:t>
      </w:r>
    </w:p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p>
      <w:pPr>
        <w:autoSpaceDN w:val="0"/>
        <w:tabs>
          <w:tab w:pos="478" w:val="left"/>
          <w:tab w:pos="694" w:val="left"/>
        </w:tabs>
        <w:autoSpaceDE w:val="0"/>
        <w:widowControl/>
        <w:spacing w:line="168" w:lineRule="exact" w:before="0" w:after="0"/>
        <w:ind w:left="170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12</w:t>
      </w:r>
    </w:p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18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3.9999999999998" w:type="dxa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hRule="exact" w:val="348"/>
        </w:trPr>
        <w:tc>
          <w:tcPr>
            <w:tcW w:type="dxa" w:w="436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58" w:after="0"/>
              <w:ind w:left="0" w:right="88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</w:rPr>
              <w:t>18</w:t>
            </w:r>
          </w:p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  <w:vMerge/>
            <w:tcBorders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  <w:tr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  <w:tc>
          <w:tcPr>
            <w:tcW w:type="dxa" w:w="936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p>
      <w:pPr>
        <w:autoSpaceDN w:val="0"/>
        <w:tabs>
          <w:tab w:pos="482" w:val="left"/>
          <w:tab w:pos="696" w:val="left"/>
        </w:tabs>
        <w:autoSpaceDE w:val="0"/>
        <w:widowControl/>
        <w:spacing w:line="168" w:lineRule="exact" w:before="0" w:after="0"/>
        <w:ind w:left="174" w:right="0" w:firstLine="0"/>
        <w:jc w:val="left"/>
      </w:pPr>
      <w:r>
        <w:rPr>
          <w:rFonts w:ascii="LinBiolinumT" w:hAnsi="LinBiolinumT" w:eastAsia="LinBiolinumT"/>
          <w:b w:val="0"/>
          <w:i w:val="0"/>
        </w:rPr>
        <w:t>24</w:t>
      </w:r>
    </w:p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28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32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34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36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38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10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0.0" w:type="dxa"/>
      </w:tblPr>
      <w:tblGrid>
        <w:gridCol w:w="3120"/>
        <w:gridCol w:w="3120"/>
        <w:gridCol w:w="3120"/>
      </w:tblGrid>
      <w:tr>
        <w:trPr>
          <w:trHeight w:hRule="exact" w:val="228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0" w:after="0"/>
              <w:ind w:left="0" w:right="76" w:firstLine="0"/>
              <w:jc w:val="right"/>
            </w:pPr>
            <w:r>
              <w:rPr>
                <w:rFonts w:ascii="LinBiolinumT" w:hAnsi="LinBiolinumT" w:eastAsia="LinBiolinumT"/>
                <w:b w:val="0"/>
                <w:i w:val="0"/>
              </w:rPr>
              <w:t>Defining a Knowledge Graph Development Process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p>
      <w:pPr>
        <w:sectPr>
          <w:pgSz w:w="12240" w:h="15840"/>
          <w:pgMar w:top="806" w:right="1440" w:bottom="11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120"/>
        <w:gridCol w:w="3120"/>
        <w:gridCol w:w="3120"/>
      </w:tblGrid>
      <w:tr>
        <w:trPr>
          <w:trHeight w:hRule="exact" w:val="23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" w:after="0"/>
              <w:ind w:left="0" w:right="0" w:firstLine="0"/>
              <w:jc w:val="center"/>
            </w:pPr>
            <w:r>
              <w:rPr>
                <w:rFonts w:ascii="LinBiolinumT" w:hAnsi="LinBiolinumT" w:eastAsia="LinBiolinumT"/>
                <w:b w:val="0"/>
                <w:i w:val="0"/>
              </w:rPr>
              <w:t>40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</w:tbl>
    <w:sectPr w:rsidR="00FC693F" w:rsidRPr="0006063C" w:rsidSect="00034616">
      <w:pgSz w:w="12240" w:h="15840"/>
      <w:pgMar w:top="810" w:right="1440" w:bottom="113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