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6" w:right="1296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Online Application Guidance for Heterogeneous Memory </w:t>
      </w:r>
    </w:p>
    <w:p>
      <w:pPr>
        <w:sectPr>
          <w:pgSz w:w="9720" w:h="14400"/>
          <w:pgMar w:top="802" w:right="0" w:bottom="0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00" w:lineRule="exact" w:before="0" w:after="0"/>
        <w:ind w:left="1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45:2 </w:t>
      </w:r>
    </w:p>
    <w:p>
      <w:pPr>
        <w:sectPr>
          <w:pgSz w:w="9720" w:h="14400"/>
          <w:pgMar w:top="550" w:right="860" w:bottom="428" w:left="8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757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50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00" w:lineRule="exact" w:before="0" w:after="0"/>
        <w:ind w:left="18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45:4 </w:t>
      </w:r>
    </w:p>
    <w:p>
      <w:pPr>
        <w:sectPr>
          <w:pgSz w:w="9720" w:h="14400"/>
          <w:pgMar w:top="548" w:right="860" w:bottom="428" w:left="8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57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1590"/>
        <w:gridCol w:w="1590"/>
        <w:gridCol w:w="1590"/>
        <w:gridCol w:w="1590"/>
        <w:gridCol w:w="1590"/>
      </w:tblGrid>
      <w:tr>
        <w:trPr>
          <w:trHeight w:hRule="exact" w:val="1562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45:6</w:t>
            </w:r>
          </w:p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</w:tr>
      <w:tr>
        <w:tc>
          <w:tcPr>
            <w:tcW w:type="dxa" w:w="1590"/>
            <w:vMerge/>
            <w:tcBorders/>
          </w:tcPr>
          <w:p/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  <w:tc>
          <w:tcPr>
            <w:tcW w:type="dxa" w:w="1590"/>
          </w:tcPr>
          <w:p/>
        </w:tc>
      </w:tr>
    </w:tbl>
    <w:p>
      <w:pPr>
        <w:sectPr>
          <w:pgSz w:w="9720" w:h="14400"/>
          <w:pgMar w:top="548" w:right="860" w:bottom="42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57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50"/>
        <w:gridCol w:w="2650"/>
        <w:gridCol w:w="2650"/>
      </w:tblGrid>
      <w:tr>
        <w:trPr>
          <w:trHeight w:hRule="exact" w:val="1882"/>
        </w:trPr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45:8</w:t>
            </w:r>
          </w:p>
        </w:tc>
        <w:tc>
          <w:tcPr>
            <w:tcW w:type="dxa" w:w="2650"/>
          </w:tcPr>
          <w:p/>
        </w:tc>
        <w:tc>
          <w:tcPr>
            <w:tcW w:type="dxa" w:w="2650"/>
          </w:tcPr>
          <w:p/>
        </w:tc>
      </w:tr>
      <w:tr>
        <w:tc>
          <w:tcPr>
            <w:tcW w:type="dxa" w:w="2650"/>
          </w:tcPr>
          <w:p/>
        </w:tc>
        <w:tc>
          <w:tcPr>
            <w:tcW w:type="dxa" w:w="2650"/>
          </w:tcPr>
          <w:p/>
        </w:tc>
        <w:tc>
          <w:tcPr>
            <w:tcW w:type="dxa" w:w="2650"/>
          </w:tcPr>
          <w:p/>
        </w:tc>
      </w:tr>
    </w:tbl>
    <w:p>
      <w:pPr>
        <w:sectPr>
          <w:pgSz w:w="9720" w:h="14400"/>
          <w:pgMar w:top="548" w:right="860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757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50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80" w:val="left"/>
        </w:tabs>
        <w:autoSpaceDE w:val="0"/>
        <w:widowControl/>
        <w:spacing w:line="200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45:10 </w:t>
      </w:r>
    </w:p>
    <w:p>
      <w:pPr>
        <w:sectPr>
          <w:pgSz w:w="9720" w:h="14400"/>
          <w:pgMar w:top="548" w:right="860" w:bottom="42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77"/>
        <w:gridCol w:w="3977"/>
      </w:tblGrid>
      <w:tr>
        <w:trPr>
          <w:trHeight w:hRule="exact" w:val="498"/>
        </w:trPr>
        <w:tc>
          <w:tcPr>
            <w:tcW w:type="dxa" w:w="6450"/>
            <w:tcBorders>
              <w:bottom w:sz="6.40799999237060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8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Online Application Guidance for Heterogeneous Memory Systems</w:t>
            </w:r>
          </w:p>
        </w:tc>
        <w:tc>
          <w:tcPr>
            <w:tcW w:type="dxa" w:w="3977"/>
          </w:tcPr>
          <w:p/>
        </w:tc>
      </w:tr>
    </w:tbl>
    <w:p>
      <w:pPr>
        <w:sectPr>
          <w:pgSz w:w="9720" w:h="14400"/>
          <w:pgMar w:top="550" w:right="856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7"/>
        <w:gridCol w:w="1987"/>
        <w:gridCol w:w="1987"/>
        <w:gridCol w:w="1987"/>
      </w:tblGrid>
      <w:tr>
        <w:trPr>
          <w:trHeight w:hRule="exact" w:val="3462"/>
        </w:trPr>
        <w:tc>
          <w:tcPr>
            <w:tcW w:type="dxa" w:w="1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45:12</w:t>
            </w:r>
          </w:p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p>
      <w:pPr>
        <w:sectPr>
          <w:pgSz w:w="9720" w:h="14400"/>
          <w:pgMar w:top="548" w:right="860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7484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50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651"/>
        <w:gridCol w:w="2651"/>
        <w:gridCol w:w="2651"/>
      </w:tblGrid>
      <w:tr>
        <w:trPr>
          <w:trHeight w:hRule="exact" w:val="36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45:14</w:t>
            </w:r>
          </w:p>
        </w:tc>
        <w:tc>
          <w:tcPr>
            <w:tcW w:type="dxa" w:w="2651"/>
          </w:tcPr>
          <w:p/>
        </w:tc>
        <w:tc>
          <w:tcPr>
            <w:tcW w:type="dxa" w:w="2651"/>
          </w:tcPr>
          <w:p/>
        </w:tc>
      </w:tr>
      <w:tr>
        <w:tc>
          <w:tcPr>
            <w:tcW w:type="dxa" w:w="2651"/>
          </w:tcPr>
          <w:p/>
        </w:tc>
        <w:tc>
          <w:tcPr>
            <w:tcW w:type="dxa" w:w="2651"/>
          </w:tcPr>
          <w:p/>
        </w:tc>
        <w:tc>
          <w:tcPr>
            <w:tcW w:type="dxa" w:w="2651"/>
          </w:tcPr>
          <w:p/>
        </w:tc>
      </w:tr>
    </w:tbl>
    <w:p>
      <w:pPr>
        <w:sectPr>
          <w:pgSz w:w="9720" w:h="14400"/>
          <w:pgMar w:top="550" w:right="860" w:bottom="42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84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6480" w:val="left"/>
        </w:tabs>
        <w:autoSpaceDE w:val="0"/>
        <w:widowControl/>
        <w:spacing w:line="200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45:16 </w:t>
      </w:r>
    </w:p>
    <w:p>
      <w:pPr>
        <w:sectPr>
          <w:pgSz w:w="9720" w:h="14400"/>
          <w:pgMar w:top="550" w:right="860" w:bottom="42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45:18 </w:t>
      </w:r>
    </w:p>
    <w:p>
      <w:pPr>
        <w:sectPr>
          <w:pgSz w:w="9720" w:h="14400"/>
          <w:pgMar w:top="548" w:right="860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84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45:20 </w:t>
      </w:r>
    </w:p>
    <w:p>
      <w:pPr>
        <w:sectPr>
          <w:pgSz w:w="9720" w:h="14400"/>
          <w:pgMar w:top="550" w:right="866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7486" w:val="left"/>
        </w:tabs>
        <w:autoSpaceDE w:val="0"/>
        <w:widowControl/>
        <w:spacing w:line="200" w:lineRule="exact" w:before="0" w:after="0"/>
        <w:ind w:left="8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50" w:right="856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45:22 </w:t>
      </w:r>
    </w:p>
    <w:p>
      <w:pPr>
        <w:sectPr>
          <w:pgSz w:w="9720" w:h="14400"/>
          <w:pgMar w:top="548" w:right="860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84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56" w:bottom="42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45:24 </w:t>
      </w:r>
    </w:p>
    <w:p>
      <w:pPr>
        <w:sectPr>
          <w:pgSz w:w="9720" w:h="14400"/>
          <w:pgMar w:top="548" w:right="870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p>
      <w:pPr>
        <w:sectPr>
          <w:pgSz w:w="9720" w:h="14400"/>
          <w:pgMar w:top="548" w:right="864" w:bottom="428" w:left="9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45:26 </w:t>
      </w:r>
    </w:p>
    <w:p>
      <w:pPr>
        <w:sectPr>
          <w:pgSz w:w="9720" w:h="14400"/>
          <w:pgMar w:top="548" w:right="866" w:bottom="42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47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Online Application Guidance for Heterogeneous Memory Systems </w:t>
      </w:r>
    </w:p>
    <w:sectPr w:rsidR="00FC693F" w:rsidRPr="0006063C" w:rsidSect="00034616">
      <w:pgSz w:w="9720" w:h="14400"/>
      <w:pgMar w:top="548" w:right="874" w:bottom="428" w:left="9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