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18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174" w:right="0" w:firstLine="0"/>
        <w:jc w:val="left"/>
      </w:pPr>
      <w:r>
        <w:rPr>
          <w:rFonts w:ascii="LinBiolinumTB" w:hAnsi="LinBiolinumTB" w:eastAsia="LinBiolinumTB"/>
          <w:b/>
          <w:i w:val="0"/>
        </w:rPr>
        <w:t>Energy-eficient Database Systems: A Systematic Survey</w:t>
      </w:r>
    </w:p>
    <w:p>
      <w:pPr>
        <w:sectPr>
          <w:pgSz w:w="12240" w:h="15840"/>
          <w:pgMar w:top="103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772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06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62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62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10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20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30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32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34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36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38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40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42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44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46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48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6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Energy-eficient Database Systems: A Systematic Survey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50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sectPr w:rsidR="00FC693F" w:rsidRPr="0006063C" w:rsidSect="00034616">
      <w:pgSz w:w="12240" w:h="15840"/>
      <w:pgMar w:top="818" w:right="1440" w:bottom="113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