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120"/>
        <w:gridCol w:w="3120"/>
        <w:gridCol w:w="3120"/>
      </w:tblGrid>
      <w:tr>
        <w:trPr>
          <w:trHeight w:hRule="exact" w:val="536"/>
        </w:trPr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07920" cy="6553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55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3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</w:rPr>
              <w:t>Vol. IX (LXXI)</w:t>
            </w:r>
          </w:p>
        </w:tc>
        <w:tc>
          <w:tcPr>
            <w:tcW w:type="dxa" w:w="3120"/>
          </w:tcPr>
          <w:p/>
        </w:tc>
      </w:tr>
      <w:tr>
        <w:tc>
          <w:tcPr>
            <w:tcW w:type="dxa" w:w="3120"/>
            <w:vMerge/>
            <w:tcBorders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332" w:right="1440" w:bottom="6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6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6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6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6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188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</w:rPr>
        <w:t>Boghian, Cojocariu, Popescu, Mâ</w:t>
      </w:r>
    </w:p>
    <w:p>
      <w:pPr>
        <w:sectPr>
          <w:pgSz w:w="12240" w:h="15840"/>
          <w:pgMar w:top="34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</w:rPr>
        <w:t>Copyright of Journal of Educational Sciences &amp; Psychology is the property of Petroleum -</w:t>
      </w:r>
    </w:p>
    <w:sectPr w:rsidR="00FC693F" w:rsidRPr="0006063C" w:rsidSect="00034616">
      <w:pgSz w:w="11906" w:h="16838"/>
      <w:pgMar w:top="694" w:right="1440" w:bottom="144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