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40" w:lineRule="auto" w:before="0" w:after="144"/>
        <w:ind w:left="0" w:right="0" w:firstLine="0"/>
        <w:jc w:val="center"/>
      </w:pPr>
      <w:r>
        <w:rPr>
          <w:rFonts w:ascii="Charis SIL" w:hAnsi="Charis SIL" w:eastAsia="Charis SIL"/>
          <w:b w:val="0"/>
          <w:i w:val="0"/>
        </w:rPr>
        <w:hyperlink r:id="rId9" w:history="1">
          <w:r>
            <w:rPr>
              <w:rStyle w:val="Hyperlink"/>
            </w:rPr>
            <w:t>The Arts in Psychother</w:t>
          </w:r>
        </w:hyperlink>
      </w:r>
    </w:p>
    <w:p>
      <w:pPr>
        <w:sectPr>
          <w:pgSz w:w="11906" w:h="15874"/>
          <w:pgMar w:top="336" w:right="686" w:bottom="57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6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6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6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8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6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6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6" w:right="686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p>
      <w:pPr>
        <w:sectPr>
          <w:pgSz w:w="11906" w:h="15874"/>
          <w:pgMar w:top="338" w:right="720" w:bottom="288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</w:rPr>
        <w:t xml:space="preserve">K.V. Tribe et al. </w:t>
      </w:r>
    </w:p>
    <w:sectPr w:rsidR="00FC693F" w:rsidRPr="0006063C" w:rsidSect="00034616">
      <w:pgSz w:w="11906" w:h="15874"/>
      <w:pgMar w:top="336" w:right="720" w:bottom="288" w:left="7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p.2021.101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