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C7304" w14:textId="77777777" w:rsidR="00391308" w:rsidRPr="00636F86" w:rsidRDefault="00636F86">
      <w:pPr>
        <w:rPr>
          <w:rFonts w:ascii="Arial" w:hAnsi="Arial" w:cs="Arial"/>
          <w:b/>
          <w:sz w:val="20"/>
          <w:szCs w:val="20"/>
        </w:rPr>
      </w:pPr>
      <w:r w:rsidRPr="00636F86">
        <w:rPr>
          <w:rFonts w:ascii="Arial" w:hAnsi="Arial" w:cs="Arial"/>
          <w:b/>
          <w:sz w:val="20"/>
          <w:szCs w:val="20"/>
        </w:rPr>
        <w:t>Corporate Finance</w:t>
      </w:r>
    </w:p>
    <w:p w14:paraId="6145368B" w14:textId="77777777" w:rsidR="00636F86" w:rsidRPr="00636F86" w:rsidRDefault="00636F86">
      <w:pPr>
        <w:rPr>
          <w:rFonts w:ascii="Arial" w:hAnsi="Arial" w:cs="Arial"/>
          <w:sz w:val="20"/>
          <w:szCs w:val="20"/>
        </w:rPr>
      </w:pPr>
      <w:r w:rsidRPr="00636F86">
        <w:rPr>
          <w:rFonts w:ascii="Arial" w:hAnsi="Arial" w:cs="Arial"/>
          <w:sz w:val="20"/>
          <w:szCs w:val="20"/>
        </w:rPr>
        <w:t>Reading 33</w:t>
      </w:r>
    </w:p>
    <w:p w14:paraId="374A6763" w14:textId="77777777" w:rsidR="00636F86" w:rsidRPr="00636F86" w:rsidRDefault="00636F86" w:rsidP="00636F86">
      <w:pPr>
        <w:rPr>
          <w:rFonts w:ascii="Arial" w:hAnsi="Arial" w:cs="Arial" w:hint="eastAsia"/>
          <w:sz w:val="20"/>
          <w:szCs w:val="20"/>
        </w:rPr>
      </w:pPr>
      <w:r w:rsidRPr="00636F86">
        <w:rPr>
          <w:rFonts w:ascii="Arial" w:hAnsi="Arial" w:cs="Arial"/>
          <w:sz w:val="20"/>
          <w:szCs w:val="20"/>
        </w:rPr>
        <w:t>LOS 33.a</w:t>
      </w:r>
    </w:p>
    <w:p w14:paraId="3C6D023A" w14:textId="77777777" w:rsidR="00636F86" w:rsidRPr="00636F86" w:rsidRDefault="00636F86" w:rsidP="00636F86">
      <w:pPr>
        <w:rPr>
          <w:rFonts w:ascii="Arial" w:hAnsi="Arial" w:cs="Arial"/>
          <w:sz w:val="20"/>
          <w:szCs w:val="20"/>
        </w:rPr>
      </w:pPr>
    </w:p>
    <w:p w14:paraId="3CFB4CED" w14:textId="77777777" w:rsidR="00636F86" w:rsidRPr="00636F86" w:rsidRDefault="00636F86" w:rsidP="00636F86">
      <w:pPr>
        <w:rPr>
          <w:rFonts w:ascii="Arial" w:hAnsi="Arial" w:cs="Arial"/>
          <w:sz w:val="20"/>
          <w:szCs w:val="20"/>
        </w:rPr>
      </w:pPr>
      <w:r w:rsidRPr="00636F86">
        <w:rPr>
          <w:rFonts w:ascii="Arial" w:hAnsi="Arial" w:cs="Arial"/>
          <w:sz w:val="20"/>
          <w:szCs w:val="20"/>
        </w:rPr>
        <w:t>Corporate governance refers to the internal controls and procedures of a company that delineate the rights and responsibilities of various groups and how conflicts of interest among the various groups are to be resolved.</w:t>
      </w:r>
    </w:p>
    <w:p w14:paraId="0FC3027B" w14:textId="77777777" w:rsidR="00636F86" w:rsidRPr="00636F86" w:rsidRDefault="00636F86" w:rsidP="00636F86">
      <w:pPr>
        <w:rPr>
          <w:rFonts w:ascii="Arial" w:hAnsi="Arial" w:cs="Arial"/>
          <w:sz w:val="20"/>
          <w:szCs w:val="20"/>
        </w:rPr>
      </w:pPr>
    </w:p>
    <w:p w14:paraId="4742EF1E" w14:textId="77777777" w:rsidR="00636F86" w:rsidRPr="00636F86" w:rsidRDefault="00636F86" w:rsidP="00636F86">
      <w:pPr>
        <w:rPr>
          <w:rFonts w:ascii="Arial" w:hAnsi="Arial" w:cs="Arial"/>
          <w:sz w:val="20"/>
          <w:szCs w:val="20"/>
        </w:rPr>
      </w:pPr>
      <w:r w:rsidRPr="00636F86">
        <w:rPr>
          <w:rFonts w:ascii="Arial" w:hAnsi="Arial" w:cs="Arial"/>
          <w:sz w:val="20"/>
          <w:szCs w:val="20"/>
        </w:rPr>
        <w:t>LOS 33.b</w:t>
      </w:r>
    </w:p>
    <w:p w14:paraId="6DDC21D8" w14:textId="77777777" w:rsidR="00636F86" w:rsidRPr="00636F86" w:rsidRDefault="00636F86" w:rsidP="00636F86">
      <w:pPr>
        <w:rPr>
          <w:rFonts w:ascii="Arial" w:hAnsi="Arial" w:cs="Arial"/>
          <w:sz w:val="20"/>
          <w:szCs w:val="20"/>
        </w:rPr>
      </w:pPr>
    </w:p>
    <w:p w14:paraId="310B5467" w14:textId="77777777" w:rsidR="00636F86" w:rsidRPr="00636F86" w:rsidRDefault="00636F86" w:rsidP="00636F86">
      <w:pPr>
        <w:rPr>
          <w:rFonts w:ascii="Arial" w:hAnsi="Arial" w:cs="Arial"/>
          <w:sz w:val="20"/>
          <w:szCs w:val="20"/>
        </w:rPr>
      </w:pPr>
      <w:r w:rsidRPr="00636F86">
        <w:rPr>
          <w:rFonts w:ascii="Arial" w:hAnsi="Arial" w:cs="Arial"/>
          <w:sz w:val="20"/>
          <w:szCs w:val="20"/>
        </w:rPr>
        <w:t>The primary stakeholders of a corporation include shareholders, the board of directors, senior management, employees, creditors, and suppliers.</w:t>
      </w:r>
    </w:p>
    <w:p w14:paraId="1AB1D3DA" w14:textId="77777777" w:rsidR="00636F86" w:rsidRPr="00636F86" w:rsidRDefault="00636F86" w:rsidP="00636F86">
      <w:pPr>
        <w:rPr>
          <w:rFonts w:ascii="Arial" w:hAnsi="Arial" w:cs="Arial"/>
          <w:sz w:val="20"/>
          <w:szCs w:val="20"/>
        </w:rPr>
      </w:pPr>
    </w:p>
    <w:p w14:paraId="33192345" w14:textId="77777777" w:rsidR="00636F86" w:rsidRPr="00636F86" w:rsidRDefault="00636F86" w:rsidP="00636F86">
      <w:pPr>
        <w:rPr>
          <w:rFonts w:ascii="Arial" w:hAnsi="Arial" w:cs="Arial"/>
          <w:sz w:val="20"/>
          <w:szCs w:val="20"/>
        </w:rPr>
      </w:pPr>
      <w:r w:rsidRPr="00636F86">
        <w:rPr>
          <w:rFonts w:ascii="Arial" w:hAnsi="Arial" w:cs="Arial"/>
          <w:sz w:val="20"/>
          <w:szCs w:val="20"/>
        </w:rPr>
        <w:t>LOS 33.c</w:t>
      </w:r>
    </w:p>
    <w:p w14:paraId="666AD612" w14:textId="77777777" w:rsidR="00636F86" w:rsidRPr="00636F86" w:rsidRDefault="00636F86" w:rsidP="00636F86">
      <w:pPr>
        <w:rPr>
          <w:rFonts w:ascii="Arial" w:hAnsi="Arial" w:cs="Arial"/>
          <w:sz w:val="20"/>
          <w:szCs w:val="20"/>
        </w:rPr>
      </w:pPr>
    </w:p>
    <w:p w14:paraId="2BA35FBC" w14:textId="77777777" w:rsidR="00636F86" w:rsidRPr="00636F86" w:rsidRDefault="00636F86" w:rsidP="00636F86">
      <w:pPr>
        <w:rPr>
          <w:rFonts w:ascii="Arial" w:hAnsi="Arial" w:cs="Arial"/>
          <w:sz w:val="20"/>
          <w:szCs w:val="20"/>
        </w:rPr>
      </w:pPr>
      <w:r w:rsidRPr="00636F86">
        <w:rPr>
          <w:rFonts w:ascii="Arial" w:hAnsi="Arial" w:cs="Arial"/>
          <w:sz w:val="20"/>
          <w:szCs w:val="20"/>
        </w:rPr>
        <w:t>The principal-agent relationship refers to owners employing agents to act in their interests. Conflicts can arise because the agent’s incentives may not align with those of the owner or, more generally, because the interests of one group within a corporation are not the same as those of other groups.</w:t>
      </w:r>
    </w:p>
    <w:p w14:paraId="359C780E" w14:textId="77777777" w:rsidR="00636F86" w:rsidRPr="00636F86" w:rsidRDefault="00636F86" w:rsidP="00636F86">
      <w:pPr>
        <w:rPr>
          <w:rFonts w:ascii="Arial" w:hAnsi="Arial" w:cs="Arial"/>
          <w:sz w:val="20"/>
          <w:szCs w:val="20"/>
        </w:rPr>
      </w:pPr>
    </w:p>
    <w:p w14:paraId="4EB672DF" w14:textId="77777777" w:rsidR="00636F86" w:rsidRPr="00636F86" w:rsidRDefault="00636F86" w:rsidP="00636F86">
      <w:pPr>
        <w:rPr>
          <w:rFonts w:ascii="Arial" w:hAnsi="Arial" w:cs="Arial"/>
          <w:sz w:val="20"/>
          <w:szCs w:val="20"/>
        </w:rPr>
      </w:pPr>
      <w:r w:rsidRPr="00636F86">
        <w:rPr>
          <w:rFonts w:ascii="Arial" w:hAnsi="Arial" w:cs="Arial"/>
          <w:sz w:val="20"/>
          <w:szCs w:val="20"/>
        </w:rPr>
        <w:t>LOS 33.d</w:t>
      </w:r>
    </w:p>
    <w:p w14:paraId="4861C148" w14:textId="77777777" w:rsidR="00636F86" w:rsidRPr="00636F86" w:rsidRDefault="00636F86" w:rsidP="00636F86">
      <w:pPr>
        <w:rPr>
          <w:rFonts w:ascii="Arial" w:hAnsi="Arial" w:cs="Arial"/>
          <w:sz w:val="20"/>
          <w:szCs w:val="20"/>
        </w:rPr>
      </w:pPr>
    </w:p>
    <w:p w14:paraId="6940D30D" w14:textId="77777777" w:rsidR="00636F86" w:rsidRPr="00636F86" w:rsidRDefault="00636F86" w:rsidP="00636F86">
      <w:pPr>
        <w:rPr>
          <w:rFonts w:ascii="Arial" w:hAnsi="Arial" w:cs="Arial"/>
          <w:sz w:val="20"/>
          <w:szCs w:val="20"/>
        </w:rPr>
      </w:pPr>
      <w:r w:rsidRPr="00636F86">
        <w:rPr>
          <w:rFonts w:ascii="Arial" w:hAnsi="Arial" w:cs="Arial"/>
          <w:sz w:val="20"/>
          <w:szCs w:val="20"/>
        </w:rPr>
        <w:t>Stakeholder management refers to the management of the company relations with stakeholders and is based on having a good understanding of stakeholder interests and maintaining effective communication with stakeholders.</w:t>
      </w:r>
    </w:p>
    <w:p w14:paraId="76ED8923" w14:textId="77777777" w:rsidR="00636F86" w:rsidRPr="00636F86" w:rsidRDefault="00636F86" w:rsidP="00636F86">
      <w:pPr>
        <w:rPr>
          <w:rFonts w:ascii="Arial" w:hAnsi="Arial" w:cs="Arial"/>
          <w:sz w:val="20"/>
          <w:szCs w:val="20"/>
        </w:rPr>
      </w:pPr>
    </w:p>
    <w:p w14:paraId="11B307BE" w14:textId="77777777" w:rsidR="00636F86" w:rsidRPr="00636F86" w:rsidRDefault="00636F86" w:rsidP="00636F86">
      <w:pPr>
        <w:rPr>
          <w:rFonts w:ascii="Arial" w:hAnsi="Arial" w:cs="Arial"/>
          <w:sz w:val="20"/>
          <w:szCs w:val="20"/>
        </w:rPr>
      </w:pPr>
      <w:r w:rsidRPr="00636F86">
        <w:rPr>
          <w:rFonts w:ascii="Arial" w:hAnsi="Arial" w:cs="Arial"/>
          <w:sz w:val="20"/>
          <w:szCs w:val="20"/>
        </w:rPr>
        <w:t>LOS 33.e</w:t>
      </w:r>
    </w:p>
    <w:p w14:paraId="1C3CB99A" w14:textId="77777777" w:rsidR="00636F86" w:rsidRPr="00636F86" w:rsidRDefault="00636F86" w:rsidP="00636F86">
      <w:pPr>
        <w:rPr>
          <w:rFonts w:ascii="Arial" w:hAnsi="Arial" w:cs="Arial"/>
          <w:sz w:val="20"/>
          <w:szCs w:val="20"/>
        </w:rPr>
      </w:pPr>
    </w:p>
    <w:p w14:paraId="60A8F78D" w14:textId="77777777" w:rsidR="00636F86" w:rsidRPr="00636F86" w:rsidRDefault="00636F86" w:rsidP="00636F86">
      <w:pPr>
        <w:rPr>
          <w:rFonts w:ascii="Arial" w:hAnsi="Arial" w:cs="Arial"/>
          <w:sz w:val="20"/>
          <w:szCs w:val="20"/>
        </w:rPr>
      </w:pPr>
      <w:r w:rsidRPr="00636F86">
        <w:rPr>
          <w:rFonts w:ascii="Arial" w:hAnsi="Arial" w:cs="Arial"/>
          <w:sz w:val="20"/>
          <w:szCs w:val="20"/>
        </w:rPr>
        <w:t>The management of stakeholder relationships is based on a company’s legal, contractual, organizational, and government infrastructures.</w:t>
      </w:r>
    </w:p>
    <w:p w14:paraId="4D2DB550" w14:textId="77777777" w:rsidR="00636F86" w:rsidRPr="00636F86" w:rsidRDefault="00636F86" w:rsidP="00636F86">
      <w:pPr>
        <w:rPr>
          <w:rFonts w:ascii="Arial" w:hAnsi="Arial" w:cs="Arial"/>
          <w:sz w:val="20"/>
          <w:szCs w:val="20"/>
        </w:rPr>
      </w:pPr>
    </w:p>
    <w:p w14:paraId="6D9196C6" w14:textId="77777777" w:rsidR="00636F86" w:rsidRPr="00636F86" w:rsidRDefault="00636F86" w:rsidP="00636F86">
      <w:pPr>
        <w:rPr>
          <w:rFonts w:ascii="Arial" w:hAnsi="Arial" w:cs="Arial"/>
          <w:sz w:val="20"/>
          <w:szCs w:val="20"/>
        </w:rPr>
      </w:pPr>
      <w:r w:rsidRPr="00636F86">
        <w:rPr>
          <w:rFonts w:ascii="Arial" w:hAnsi="Arial" w:cs="Arial"/>
          <w:sz w:val="20"/>
          <w:szCs w:val="20"/>
        </w:rPr>
        <w:t>LOS 33.f</w:t>
      </w:r>
    </w:p>
    <w:p w14:paraId="05522C89" w14:textId="77777777" w:rsidR="00636F86" w:rsidRPr="00636F86" w:rsidRDefault="00636F86" w:rsidP="00636F86">
      <w:pPr>
        <w:rPr>
          <w:rFonts w:ascii="Arial" w:hAnsi="Arial" w:cs="Arial"/>
          <w:sz w:val="20"/>
          <w:szCs w:val="20"/>
        </w:rPr>
      </w:pPr>
    </w:p>
    <w:p w14:paraId="3C8327F6" w14:textId="77777777" w:rsidR="00636F86" w:rsidRPr="00636F86" w:rsidRDefault="00636F86" w:rsidP="00636F86">
      <w:pPr>
        <w:rPr>
          <w:rFonts w:ascii="Arial" w:hAnsi="Arial" w:cs="Arial"/>
          <w:sz w:val="20"/>
          <w:szCs w:val="20"/>
        </w:rPr>
      </w:pPr>
      <w:r w:rsidRPr="00636F86">
        <w:rPr>
          <w:rFonts w:ascii="Arial" w:hAnsi="Arial" w:cs="Arial"/>
          <w:sz w:val="20"/>
          <w:szCs w:val="20"/>
        </w:rPr>
        <w:t>The duties of a board of directors include:</w:t>
      </w:r>
    </w:p>
    <w:p w14:paraId="0EA0D7F2" w14:textId="77777777" w:rsidR="00636F86" w:rsidRPr="00636F86" w:rsidRDefault="00636F86" w:rsidP="00636F86">
      <w:pPr>
        <w:rPr>
          <w:rFonts w:ascii="Arial" w:hAnsi="Arial" w:cs="Arial"/>
          <w:sz w:val="20"/>
          <w:szCs w:val="20"/>
        </w:rPr>
      </w:pPr>
    </w:p>
    <w:p w14:paraId="4B890EA5" w14:textId="77777777" w:rsidR="00636F86" w:rsidRPr="00636F86" w:rsidRDefault="00636F86" w:rsidP="00636F86">
      <w:pPr>
        <w:rPr>
          <w:rFonts w:ascii="Arial" w:hAnsi="Arial" w:cs="Arial"/>
          <w:sz w:val="20"/>
          <w:szCs w:val="20"/>
        </w:rPr>
      </w:pPr>
      <w:r w:rsidRPr="00636F86">
        <w:rPr>
          <w:rFonts w:ascii="Arial" w:hAnsi="Arial" w:cs="Arial"/>
          <w:sz w:val="20"/>
          <w:szCs w:val="20"/>
        </w:rPr>
        <w:t>Selecting senior management, setting their compensation, and evaluating their performance.</w:t>
      </w:r>
    </w:p>
    <w:p w14:paraId="64039E77" w14:textId="77777777" w:rsidR="00636F86" w:rsidRPr="00636F86" w:rsidRDefault="00636F86" w:rsidP="00636F86">
      <w:pPr>
        <w:rPr>
          <w:rFonts w:ascii="Arial" w:hAnsi="Arial" w:cs="Arial"/>
          <w:sz w:val="20"/>
          <w:szCs w:val="20"/>
        </w:rPr>
      </w:pPr>
    </w:p>
    <w:p w14:paraId="79E322DA" w14:textId="77777777" w:rsidR="00636F86" w:rsidRPr="00636F86" w:rsidRDefault="00636F86" w:rsidP="00636F86">
      <w:pPr>
        <w:rPr>
          <w:rFonts w:ascii="Arial" w:hAnsi="Arial" w:cs="Arial"/>
          <w:sz w:val="20"/>
          <w:szCs w:val="20"/>
        </w:rPr>
      </w:pPr>
      <w:r w:rsidRPr="00636F86">
        <w:rPr>
          <w:rFonts w:ascii="Arial" w:hAnsi="Arial" w:cs="Arial"/>
          <w:sz w:val="20"/>
          <w:szCs w:val="20"/>
        </w:rPr>
        <w:t>Setting the strategic direction for the company.</w:t>
      </w:r>
    </w:p>
    <w:p w14:paraId="19BD0D6B" w14:textId="77777777" w:rsidR="00636F86" w:rsidRPr="00636F86" w:rsidRDefault="00636F86" w:rsidP="00636F86">
      <w:pPr>
        <w:rPr>
          <w:rFonts w:ascii="Arial" w:hAnsi="Arial" w:cs="Arial"/>
          <w:sz w:val="20"/>
          <w:szCs w:val="20"/>
        </w:rPr>
      </w:pPr>
    </w:p>
    <w:p w14:paraId="04B87E0B" w14:textId="77777777" w:rsidR="00636F86" w:rsidRPr="00636F86" w:rsidRDefault="00636F86" w:rsidP="00636F86">
      <w:pPr>
        <w:rPr>
          <w:rFonts w:ascii="Arial" w:hAnsi="Arial" w:cs="Arial"/>
          <w:sz w:val="20"/>
          <w:szCs w:val="20"/>
        </w:rPr>
      </w:pPr>
      <w:r w:rsidRPr="00636F86">
        <w:rPr>
          <w:rFonts w:ascii="Arial" w:hAnsi="Arial" w:cs="Arial"/>
          <w:sz w:val="20"/>
          <w:szCs w:val="20"/>
        </w:rPr>
        <w:t>Approving capital structure changes, significant acquisitions, and large investment expenditures.</w:t>
      </w:r>
    </w:p>
    <w:p w14:paraId="34C81A01" w14:textId="77777777" w:rsidR="00636F86" w:rsidRPr="00636F86" w:rsidRDefault="00636F86" w:rsidP="00636F86">
      <w:pPr>
        <w:rPr>
          <w:rFonts w:ascii="Arial" w:hAnsi="Arial" w:cs="Arial"/>
          <w:sz w:val="20"/>
          <w:szCs w:val="20"/>
        </w:rPr>
      </w:pPr>
    </w:p>
    <w:p w14:paraId="7B9A6011" w14:textId="77777777" w:rsidR="00636F86" w:rsidRPr="00636F86" w:rsidRDefault="00636F86" w:rsidP="00636F86">
      <w:pPr>
        <w:rPr>
          <w:rFonts w:ascii="Arial" w:hAnsi="Arial" w:cs="Arial"/>
          <w:sz w:val="20"/>
          <w:szCs w:val="20"/>
        </w:rPr>
      </w:pPr>
      <w:r w:rsidRPr="00636F86">
        <w:rPr>
          <w:rFonts w:ascii="Arial" w:hAnsi="Arial" w:cs="Arial"/>
          <w:sz w:val="20"/>
          <w:szCs w:val="20"/>
        </w:rPr>
        <w:t>Reviewing company performance and implementing any necessary corrective steps.</w:t>
      </w:r>
    </w:p>
    <w:p w14:paraId="6C6465DB" w14:textId="77777777" w:rsidR="00636F86" w:rsidRPr="00636F86" w:rsidRDefault="00636F86" w:rsidP="00636F86">
      <w:pPr>
        <w:rPr>
          <w:rFonts w:ascii="Arial" w:hAnsi="Arial" w:cs="Arial"/>
          <w:sz w:val="20"/>
          <w:szCs w:val="20"/>
        </w:rPr>
      </w:pPr>
    </w:p>
    <w:p w14:paraId="62A48229" w14:textId="77777777" w:rsidR="00636F86" w:rsidRPr="00636F86" w:rsidRDefault="00636F86" w:rsidP="00636F86">
      <w:pPr>
        <w:rPr>
          <w:rFonts w:ascii="Arial" w:hAnsi="Arial" w:cs="Arial"/>
          <w:sz w:val="20"/>
          <w:szCs w:val="20"/>
        </w:rPr>
      </w:pPr>
      <w:r w:rsidRPr="00636F86">
        <w:rPr>
          <w:rFonts w:ascii="Arial" w:hAnsi="Arial" w:cs="Arial"/>
          <w:sz w:val="20"/>
          <w:szCs w:val="20"/>
        </w:rPr>
        <w:t>Planning for continuity of management and the succession of the CEO.</w:t>
      </w:r>
    </w:p>
    <w:p w14:paraId="5C22459F" w14:textId="77777777" w:rsidR="00636F86" w:rsidRPr="00636F86" w:rsidRDefault="00636F86" w:rsidP="00636F86">
      <w:pPr>
        <w:rPr>
          <w:rFonts w:ascii="Arial" w:hAnsi="Arial" w:cs="Arial"/>
          <w:sz w:val="20"/>
          <w:szCs w:val="20"/>
        </w:rPr>
      </w:pPr>
    </w:p>
    <w:p w14:paraId="29D5BFBA" w14:textId="77777777" w:rsidR="00636F86" w:rsidRPr="00636F86" w:rsidRDefault="00636F86" w:rsidP="00636F86">
      <w:pPr>
        <w:rPr>
          <w:rFonts w:ascii="Arial" w:hAnsi="Arial" w:cs="Arial"/>
          <w:sz w:val="20"/>
          <w:szCs w:val="20"/>
        </w:rPr>
      </w:pPr>
      <w:r w:rsidRPr="00636F86">
        <w:rPr>
          <w:rFonts w:ascii="Arial" w:hAnsi="Arial" w:cs="Arial"/>
          <w:sz w:val="20"/>
          <w:szCs w:val="20"/>
        </w:rPr>
        <w:t>Establishing, monitoring, and overseeing the firm’s internal controls and risk management.</w:t>
      </w:r>
    </w:p>
    <w:p w14:paraId="082909AE" w14:textId="77777777" w:rsidR="00636F86" w:rsidRPr="00636F86" w:rsidRDefault="00636F86" w:rsidP="00636F86">
      <w:pPr>
        <w:rPr>
          <w:rFonts w:ascii="Arial" w:hAnsi="Arial" w:cs="Arial"/>
          <w:sz w:val="20"/>
          <w:szCs w:val="20"/>
        </w:rPr>
      </w:pPr>
    </w:p>
    <w:p w14:paraId="29651A26" w14:textId="77777777" w:rsidR="00636F86" w:rsidRPr="00636F86" w:rsidRDefault="00636F86" w:rsidP="00636F86">
      <w:pPr>
        <w:rPr>
          <w:rFonts w:ascii="Arial" w:hAnsi="Arial" w:cs="Arial"/>
          <w:sz w:val="20"/>
          <w:szCs w:val="20"/>
        </w:rPr>
      </w:pPr>
      <w:r w:rsidRPr="00636F86">
        <w:rPr>
          <w:rFonts w:ascii="Arial" w:hAnsi="Arial" w:cs="Arial"/>
          <w:sz w:val="20"/>
          <w:szCs w:val="20"/>
        </w:rPr>
        <w:t>Ensuring the quality of the firm’s financial reporting and internal audit.</w:t>
      </w:r>
    </w:p>
    <w:p w14:paraId="26A8F7A7" w14:textId="77777777" w:rsidR="00636F86" w:rsidRPr="00636F86" w:rsidRDefault="00636F86" w:rsidP="00636F86">
      <w:pPr>
        <w:rPr>
          <w:rFonts w:ascii="Arial" w:hAnsi="Arial" w:cs="Arial"/>
          <w:sz w:val="20"/>
          <w:szCs w:val="20"/>
        </w:rPr>
      </w:pPr>
    </w:p>
    <w:p w14:paraId="3B317EF6" w14:textId="77777777" w:rsidR="00636F86" w:rsidRPr="00636F86" w:rsidRDefault="00636F86" w:rsidP="00636F86">
      <w:pPr>
        <w:rPr>
          <w:rFonts w:ascii="Arial" w:hAnsi="Arial" w:cs="Arial"/>
          <w:sz w:val="20"/>
          <w:szCs w:val="20"/>
        </w:rPr>
      </w:pPr>
      <w:r w:rsidRPr="00636F86">
        <w:rPr>
          <w:rFonts w:ascii="Arial" w:hAnsi="Arial" w:cs="Arial"/>
          <w:sz w:val="20"/>
          <w:szCs w:val="20"/>
        </w:rPr>
        <w:t>LOS 33.g</w:t>
      </w:r>
    </w:p>
    <w:p w14:paraId="74E06D2B" w14:textId="77777777" w:rsidR="00636F86" w:rsidRPr="00636F86" w:rsidRDefault="00636F86" w:rsidP="00636F86">
      <w:pPr>
        <w:rPr>
          <w:rFonts w:ascii="Arial" w:hAnsi="Arial" w:cs="Arial"/>
          <w:sz w:val="20"/>
          <w:szCs w:val="20"/>
        </w:rPr>
      </w:pPr>
      <w:r w:rsidRPr="00636F86">
        <w:rPr>
          <w:rFonts w:ascii="Arial" w:hAnsi="Arial" w:cs="Arial"/>
          <w:sz w:val="20"/>
          <w:szCs w:val="20"/>
        </w:rPr>
        <w:t>Factors that can affect stakeholder relationships and corporate governance include:</w:t>
      </w:r>
    </w:p>
    <w:p w14:paraId="60C9079A" w14:textId="77777777" w:rsidR="00636F86" w:rsidRPr="00636F86" w:rsidRDefault="00636F86" w:rsidP="00636F86">
      <w:pPr>
        <w:rPr>
          <w:rFonts w:ascii="Arial" w:hAnsi="Arial" w:cs="Arial"/>
          <w:sz w:val="20"/>
          <w:szCs w:val="20"/>
        </w:rPr>
      </w:pPr>
    </w:p>
    <w:p w14:paraId="1B3577E3" w14:textId="77777777" w:rsidR="00636F86" w:rsidRPr="00636F86" w:rsidRDefault="00636F86" w:rsidP="00636F86">
      <w:pPr>
        <w:rPr>
          <w:rFonts w:ascii="Arial" w:hAnsi="Arial" w:cs="Arial"/>
          <w:sz w:val="20"/>
          <w:szCs w:val="20"/>
        </w:rPr>
      </w:pPr>
      <w:r w:rsidRPr="00636F86">
        <w:rPr>
          <w:rFonts w:ascii="Arial" w:hAnsi="Arial" w:cs="Arial"/>
          <w:sz w:val="20"/>
          <w:szCs w:val="20"/>
        </w:rPr>
        <w:t>Communication and engagement with shareholders.</w:t>
      </w:r>
    </w:p>
    <w:p w14:paraId="6D450A3E" w14:textId="77777777" w:rsidR="00636F86" w:rsidRPr="00636F86" w:rsidRDefault="00636F86" w:rsidP="00636F86">
      <w:pPr>
        <w:rPr>
          <w:rFonts w:ascii="Arial" w:hAnsi="Arial" w:cs="Arial"/>
          <w:sz w:val="20"/>
          <w:szCs w:val="20"/>
        </w:rPr>
      </w:pPr>
    </w:p>
    <w:p w14:paraId="0CA6D101" w14:textId="77777777" w:rsidR="00636F86" w:rsidRPr="00636F86" w:rsidRDefault="00636F86" w:rsidP="00636F86">
      <w:pPr>
        <w:rPr>
          <w:rFonts w:ascii="Arial" w:hAnsi="Arial" w:cs="Arial"/>
          <w:sz w:val="20"/>
          <w:szCs w:val="20"/>
        </w:rPr>
      </w:pPr>
      <w:r w:rsidRPr="00636F86">
        <w:rPr>
          <w:rFonts w:ascii="Arial" w:hAnsi="Arial" w:cs="Arial"/>
          <w:sz w:val="20"/>
          <w:szCs w:val="20"/>
        </w:rPr>
        <w:t>Shareholder activism.</w:t>
      </w:r>
    </w:p>
    <w:p w14:paraId="76ACDD2A" w14:textId="77777777" w:rsidR="00636F86" w:rsidRPr="00636F86" w:rsidRDefault="00636F86" w:rsidP="00636F86">
      <w:pPr>
        <w:rPr>
          <w:rFonts w:ascii="Arial" w:hAnsi="Arial" w:cs="Arial"/>
          <w:sz w:val="20"/>
          <w:szCs w:val="20"/>
        </w:rPr>
      </w:pPr>
    </w:p>
    <w:p w14:paraId="60AD913D" w14:textId="77777777" w:rsidR="00636F86" w:rsidRPr="00636F86" w:rsidRDefault="00636F86" w:rsidP="00636F86">
      <w:pPr>
        <w:rPr>
          <w:rFonts w:ascii="Arial" w:hAnsi="Arial" w:cs="Arial"/>
          <w:sz w:val="20"/>
          <w:szCs w:val="20"/>
        </w:rPr>
      </w:pPr>
      <w:r w:rsidRPr="00636F86">
        <w:rPr>
          <w:rFonts w:ascii="Arial" w:hAnsi="Arial" w:cs="Arial"/>
          <w:sz w:val="20"/>
          <w:szCs w:val="20"/>
        </w:rPr>
        <w:t>Threat of hostile takeover and existence of anti-takeover provisions.</w:t>
      </w:r>
    </w:p>
    <w:p w14:paraId="7DA9AA19" w14:textId="77777777" w:rsidR="00636F86" w:rsidRPr="00636F86" w:rsidRDefault="00636F86" w:rsidP="00636F86">
      <w:pPr>
        <w:rPr>
          <w:rFonts w:ascii="Arial" w:hAnsi="Arial" w:cs="Arial"/>
          <w:sz w:val="20"/>
          <w:szCs w:val="20"/>
        </w:rPr>
      </w:pPr>
    </w:p>
    <w:p w14:paraId="70EF7239" w14:textId="77777777" w:rsidR="00636F86" w:rsidRPr="00636F86" w:rsidRDefault="00636F86" w:rsidP="00636F86">
      <w:pPr>
        <w:rPr>
          <w:rFonts w:ascii="Arial" w:hAnsi="Arial" w:cs="Arial"/>
          <w:sz w:val="20"/>
          <w:szCs w:val="20"/>
        </w:rPr>
      </w:pPr>
      <w:r w:rsidRPr="00636F86">
        <w:rPr>
          <w:rFonts w:ascii="Arial" w:hAnsi="Arial" w:cs="Arial"/>
          <w:sz w:val="20"/>
          <w:szCs w:val="20"/>
        </w:rPr>
        <w:t>Company’s legal environment.</w:t>
      </w:r>
    </w:p>
    <w:p w14:paraId="2CFDD956" w14:textId="77777777" w:rsidR="00636F86" w:rsidRPr="00636F86" w:rsidRDefault="00636F86" w:rsidP="00636F86">
      <w:pPr>
        <w:rPr>
          <w:rFonts w:ascii="Arial" w:hAnsi="Arial" w:cs="Arial"/>
          <w:sz w:val="20"/>
          <w:szCs w:val="20"/>
        </w:rPr>
      </w:pPr>
    </w:p>
    <w:p w14:paraId="21878FFC" w14:textId="77777777" w:rsidR="00636F86" w:rsidRPr="00636F86" w:rsidRDefault="00636F86" w:rsidP="00636F86">
      <w:pPr>
        <w:rPr>
          <w:rFonts w:ascii="Arial" w:hAnsi="Arial" w:cs="Arial"/>
          <w:sz w:val="20"/>
          <w:szCs w:val="20"/>
        </w:rPr>
      </w:pPr>
      <w:r w:rsidRPr="00636F86">
        <w:rPr>
          <w:rFonts w:ascii="Arial" w:hAnsi="Arial" w:cs="Arial"/>
          <w:sz w:val="20"/>
          <w:szCs w:val="20"/>
        </w:rPr>
        <w:t>Growth of firms that advise funds on proxy voting and rate companies’ corporate governance.</w:t>
      </w:r>
    </w:p>
    <w:p w14:paraId="68AB84EB" w14:textId="77777777" w:rsidR="00636F86" w:rsidRPr="00636F86" w:rsidRDefault="00636F86" w:rsidP="00636F86">
      <w:pPr>
        <w:rPr>
          <w:rFonts w:ascii="Arial" w:hAnsi="Arial" w:cs="Arial"/>
          <w:sz w:val="20"/>
          <w:szCs w:val="20"/>
        </w:rPr>
      </w:pPr>
    </w:p>
    <w:p w14:paraId="17172B6D" w14:textId="77777777" w:rsidR="00636F86" w:rsidRPr="00636F86" w:rsidRDefault="00636F86" w:rsidP="00636F86">
      <w:pPr>
        <w:rPr>
          <w:rFonts w:ascii="Arial" w:hAnsi="Arial" w:cs="Arial"/>
          <w:sz w:val="20"/>
          <w:szCs w:val="20"/>
        </w:rPr>
      </w:pPr>
      <w:r w:rsidRPr="00636F86">
        <w:rPr>
          <w:rFonts w:ascii="Arial" w:hAnsi="Arial" w:cs="Arial"/>
          <w:sz w:val="20"/>
          <w:szCs w:val="20"/>
        </w:rPr>
        <w:t>LOS 33.h</w:t>
      </w:r>
    </w:p>
    <w:p w14:paraId="6EE9B855" w14:textId="77777777" w:rsidR="00636F86" w:rsidRPr="00636F86" w:rsidRDefault="00636F86" w:rsidP="00636F86">
      <w:pPr>
        <w:rPr>
          <w:rFonts w:ascii="Arial" w:hAnsi="Arial" w:cs="Arial"/>
          <w:sz w:val="20"/>
          <w:szCs w:val="20"/>
        </w:rPr>
      </w:pPr>
    </w:p>
    <w:p w14:paraId="17517683" w14:textId="77777777" w:rsidR="00636F86" w:rsidRPr="00636F86" w:rsidRDefault="00636F86" w:rsidP="00636F86">
      <w:pPr>
        <w:rPr>
          <w:rFonts w:ascii="Arial" w:hAnsi="Arial" w:cs="Arial"/>
          <w:sz w:val="20"/>
          <w:szCs w:val="20"/>
        </w:rPr>
      </w:pPr>
      <w:r w:rsidRPr="00636F86">
        <w:rPr>
          <w:rFonts w:ascii="Arial" w:hAnsi="Arial" w:cs="Arial"/>
          <w:sz w:val="20"/>
          <w:szCs w:val="20"/>
        </w:rPr>
        <w:t>The risks of poor governance include weak control systems, poor decision making, legal risk, reputational risk, and default risk. Good corporate governance can improve operational efficiency and performance, reduce default risk, reduce the cost of debt, improve financial performance, and increase firm value.</w:t>
      </w:r>
    </w:p>
    <w:p w14:paraId="2B3C4D24" w14:textId="77777777" w:rsidR="00636F86" w:rsidRPr="00636F86" w:rsidRDefault="00636F86" w:rsidP="00636F86">
      <w:pPr>
        <w:rPr>
          <w:rFonts w:ascii="Arial" w:hAnsi="Arial" w:cs="Arial"/>
          <w:sz w:val="20"/>
          <w:szCs w:val="20"/>
        </w:rPr>
      </w:pPr>
    </w:p>
    <w:p w14:paraId="436837D8" w14:textId="77777777" w:rsidR="00636F86" w:rsidRPr="00636F86" w:rsidRDefault="00636F86" w:rsidP="00636F86">
      <w:pPr>
        <w:rPr>
          <w:rFonts w:ascii="Arial" w:hAnsi="Arial" w:cs="Arial"/>
          <w:sz w:val="20"/>
          <w:szCs w:val="20"/>
        </w:rPr>
      </w:pPr>
      <w:r w:rsidRPr="00636F86">
        <w:rPr>
          <w:rFonts w:ascii="Arial" w:hAnsi="Arial" w:cs="Arial"/>
          <w:sz w:val="20"/>
          <w:szCs w:val="20"/>
        </w:rPr>
        <w:t>LOS 33.i</w:t>
      </w:r>
    </w:p>
    <w:p w14:paraId="1033242D" w14:textId="77777777" w:rsidR="00636F86" w:rsidRPr="00636F86" w:rsidRDefault="00636F86" w:rsidP="00636F86">
      <w:pPr>
        <w:rPr>
          <w:rFonts w:ascii="Arial" w:hAnsi="Arial" w:cs="Arial"/>
          <w:sz w:val="20"/>
          <w:szCs w:val="20"/>
        </w:rPr>
      </w:pPr>
    </w:p>
    <w:p w14:paraId="14FF897F" w14:textId="77777777" w:rsidR="00636F86" w:rsidRPr="00636F86" w:rsidRDefault="00636F86" w:rsidP="00636F86">
      <w:pPr>
        <w:rPr>
          <w:rFonts w:ascii="Arial" w:hAnsi="Arial" w:cs="Arial"/>
          <w:sz w:val="20"/>
          <w:szCs w:val="20"/>
        </w:rPr>
      </w:pPr>
      <w:r w:rsidRPr="00636F86">
        <w:rPr>
          <w:rFonts w:ascii="Arial" w:hAnsi="Arial" w:cs="Arial"/>
          <w:sz w:val="20"/>
          <w:szCs w:val="20"/>
        </w:rPr>
        <w:t>Elements of corporate governance that analysts have found to be relevant include ownership and voting structures, board composition, management remuneration, the composition of shareholders, strength of shareholder rights, and management of long- term risks.</w:t>
      </w:r>
    </w:p>
    <w:p w14:paraId="2A4A9AFD" w14:textId="77777777" w:rsidR="00636F86" w:rsidRPr="00636F86" w:rsidRDefault="00636F86" w:rsidP="00636F86">
      <w:pPr>
        <w:rPr>
          <w:rFonts w:ascii="Arial" w:hAnsi="Arial" w:cs="Arial"/>
          <w:sz w:val="20"/>
          <w:szCs w:val="20"/>
        </w:rPr>
      </w:pPr>
    </w:p>
    <w:p w14:paraId="0B28AB30" w14:textId="77777777" w:rsidR="00636F86" w:rsidRPr="00636F86" w:rsidRDefault="00636F86" w:rsidP="00636F86">
      <w:pPr>
        <w:rPr>
          <w:rFonts w:ascii="Arial" w:hAnsi="Arial" w:cs="Arial"/>
          <w:sz w:val="20"/>
          <w:szCs w:val="20"/>
        </w:rPr>
      </w:pPr>
      <w:r w:rsidRPr="00636F86">
        <w:rPr>
          <w:rFonts w:ascii="Arial" w:hAnsi="Arial" w:cs="Arial"/>
          <w:sz w:val="20"/>
          <w:szCs w:val="20"/>
        </w:rPr>
        <w:t>LOS 33.j</w:t>
      </w:r>
    </w:p>
    <w:p w14:paraId="323C0AA8" w14:textId="77777777" w:rsidR="00636F86" w:rsidRPr="00636F86" w:rsidRDefault="00636F86" w:rsidP="00636F86">
      <w:pPr>
        <w:rPr>
          <w:rFonts w:ascii="Arial" w:hAnsi="Arial" w:cs="Arial"/>
          <w:sz w:val="20"/>
          <w:szCs w:val="20"/>
        </w:rPr>
      </w:pPr>
    </w:p>
    <w:p w14:paraId="4471AE0A" w14:textId="77777777" w:rsidR="00636F86" w:rsidRPr="00636F86" w:rsidRDefault="00636F86" w:rsidP="00636F86">
      <w:pPr>
        <w:rPr>
          <w:rFonts w:ascii="Arial" w:hAnsi="Arial" w:cs="Arial"/>
          <w:sz w:val="20"/>
          <w:szCs w:val="20"/>
        </w:rPr>
      </w:pPr>
      <w:r w:rsidRPr="00636F86">
        <w:rPr>
          <w:rFonts w:ascii="Arial" w:hAnsi="Arial" w:cs="Arial"/>
          <w:sz w:val="20"/>
          <w:szCs w:val="20"/>
        </w:rPr>
        <w:t>The use of environmental, social, and governance (ESG) factors in making investment decisions is referred to as ESG investing. Many issues can be considered in this context, including harm or potential harm to the environment, risk of loss due to environmental accidents, the changing demographics of the workforce, and reputational risks from corrupt practices or human rights abuses.</w:t>
      </w:r>
    </w:p>
    <w:p w14:paraId="582E9BC2" w14:textId="77777777" w:rsidR="00636F86" w:rsidRPr="00636F86" w:rsidRDefault="00636F86" w:rsidP="00636F86">
      <w:pPr>
        <w:rPr>
          <w:rFonts w:ascii="Arial" w:hAnsi="Arial" w:cs="Arial"/>
          <w:sz w:val="20"/>
          <w:szCs w:val="20"/>
        </w:rPr>
      </w:pPr>
    </w:p>
    <w:p w14:paraId="0F1A516C" w14:textId="77777777" w:rsidR="00636F86" w:rsidRPr="00636F86" w:rsidRDefault="00636F86" w:rsidP="00636F86">
      <w:pPr>
        <w:rPr>
          <w:rFonts w:ascii="Arial" w:hAnsi="Arial" w:cs="Arial"/>
          <w:sz w:val="20"/>
          <w:szCs w:val="20"/>
        </w:rPr>
      </w:pPr>
      <w:r w:rsidRPr="00636F86">
        <w:rPr>
          <w:rFonts w:ascii="Arial" w:hAnsi="Arial" w:cs="Arial"/>
          <w:sz w:val="20"/>
          <w:szCs w:val="20"/>
        </w:rPr>
        <w:t>LOS 33.k</w:t>
      </w:r>
    </w:p>
    <w:p w14:paraId="7FB25DF1" w14:textId="77777777" w:rsidR="00636F86" w:rsidRPr="00636F86" w:rsidRDefault="00636F86" w:rsidP="00636F86">
      <w:pPr>
        <w:rPr>
          <w:rFonts w:ascii="Arial" w:hAnsi="Arial" w:cs="Arial"/>
          <w:sz w:val="20"/>
          <w:szCs w:val="20"/>
        </w:rPr>
      </w:pPr>
    </w:p>
    <w:p w14:paraId="78CAF237" w14:textId="77777777" w:rsidR="00636F86" w:rsidRDefault="00636F86" w:rsidP="00636F86">
      <w:pPr>
        <w:rPr>
          <w:rFonts w:ascii="Arial" w:hAnsi="Arial" w:cs="Arial" w:hint="eastAsia"/>
          <w:sz w:val="20"/>
          <w:szCs w:val="20"/>
        </w:rPr>
      </w:pPr>
      <w:r w:rsidRPr="00636F86">
        <w:rPr>
          <w:rFonts w:ascii="Arial" w:hAnsi="Arial" w:cs="Arial"/>
          <w:sz w:val="20"/>
          <w:szCs w:val="20"/>
        </w:rPr>
        <w:t>Methods of integrating ESG concerns into portfolio construction are negative screening, positive screening, best-in-class investing, impact investing, and thematic investing.</w:t>
      </w:r>
    </w:p>
    <w:p w14:paraId="1CBB1800" w14:textId="77777777" w:rsidR="00DB0E58" w:rsidRDefault="00DB0E58" w:rsidP="00636F86">
      <w:pPr>
        <w:rPr>
          <w:rFonts w:ascii="Arial" w:hAnsi="Arial" w:cs="Arial" w:hint="eastAsia"/>
          <w:sz w:val="20"/>
          <w:szCs w:val="20"/>
        </w:rPr>
      </w:pPr>
    </w:p>
    <w:p w14:paraId="509480C1" w14:textId="77777777" w:rsidR="00DB0E58" w:rsidRDefault="00DB0E58" w:rsidP="00636F86">
      <w:pPr>
        <w:rPr>
          <w:rFonts w:ascii="Arial" w:hAnsi="Arial" w:cs="Arial" w:hint="eastAsia"/>
          <w:sz w:val="20"/>
          <w:szCs w:val="20"/>
        </w:rPr>
      </w:pPr>
      <w:r>
        <w:rPr>
          <w:rFonts w:ascii="Arial" w:hAnsi="Arial" w:cs="Arial"/>
          <w:sz w:val="20"/>
          <w:szCs w:val="20"/>
        </w:rPr>
        <w:t>Reading 34</w:t>
      </w:r>
    </w:p>
    <w:p w14:paraId="6C1C5443" w14:textId="77777777" w:rsidR="00DB0E58" w:rsidRPr="00DB0E58" w:rsidRDefault="00DB0E58" w:rsidP="00DB0E58">
      <w:pPr>
        <w:rPr>
          <w:rFonts w:ascii="Arial" w:hAnsi="Arial" w:cs="Arial"/>
          <w:sz w:val="20"/>
          <w:szCs w:val="20"/>
        </w:rPr>
      </w:pPr>
      <w:r w:rsidRPr="00DB0E58">
        <w:rPr>
          <w:rFonts w:ascii="Arial" w:hAnsi="Arial" w:cs="Arial"/>
          <w:sz w:val="20"/>
          <w:szCs w:val="20"/>
        </w:rPr>
        <w:t>LOS 34.a</w:t>
      </w:r>
    </w:p>
    <w:p w14:paraId="15D97A9D" w14:textId="77777777" w:rsidR="00DB0E58" w:rsidRPr="00DB0E58" w:rsidRDefault="00DB0E58" w:rsidP="00DB0E58">
      <w:pPr>
        <w:rPr>
          <w:rFonts w:ascii="Arial" w:hAnsi="Arial" w:cs="Arial"/>
          <w:sz w:val="20"/>
          <w:szCs w:val="20"/>
        </w:rPr>
      </w:pPr>
    </w:p>
    <w:p w14:paraId="53419EA5" w14:textId="77777777" w:rsidR="00DB0E58" w:rsidRPr="00DB0E58" w:rsidRDefault="00DB0E58" w:rsidP="00DB0E58">
      <w:pPr>
        <w:rPr>
          <w:rFonts w:ascii="Arial" w:hAnsi="Arial" w:cs="Arial"/>
          <w:sz w:val="20"/>
          <w:szCs w:val="20"/>
        </w:rPr>
      </w:pPr>
      <w:r w:rsidRPr="00DB0E58">
        <w:rPr>
          <w:rFonts w:ascii="Arial" w:hAnsi="Arial" w:cs="Arial"/>
          <w:sz w:val="20"/>
          <w:szCs w:val="20"/>
        </w:rPr>
        <w:t>Capital budgeting is the process of evaluating capital projects, projects with cash flows over more than one year.</w:t>
      </w:r>
    </w:p>
    <w:p w14:paraId="176FEFF8" w14:textId="77777777" w:rsidR="00DB0E58" w:rsidRPr="00DB0E58" w:rsidRDefault="00DB0E58" w:rsidP="00DB0E58">
      <w:pPr>
        <w:rPr>
          <w:rFonts w:ascii="Arial" w:hAnsi="Arial" w:cs="Arial"/>
          <w:sz w:val="20"/>
          <w:szCs w:val="20"/>
        </w:rPr>
      </w:pPr>
    </w:p>
    <w:p w14:paraId="3C55B045" w14:textId="77777777" w:rsidR="00DB0E58" w:rsidRPr="00DB0E58" w:rsidRDefault="00DB0E58" w:rsidP="00DB0E58">
      <w:pPr>
        <w:rPr>
          <w:rFonts w:ascii="Arial" w:hAnsi="Arial" w:cs="Arial"/>
          <w:sz w:val="20"/>
          <w:szCs w:val="20"/>
        </w:rPr>
      </w:pPr>
      <w:r w:rsidRPr="00DB0E58">
        <w:rPr>
          <w:rFonts w:ascii="Arial" w:hAnsi="Arial" w:cs="Arial"/>
          <w:sz w:val="20"/>
          <w:szCs w:val="20"/>
        </w:rPr>
        <w:t>The four steps of the capital budgeting process are: (1) Generate investment ideas; (2) Analyze project ideas; (3) Create firm-wide capital budget; and (4) Monitor decisions and conduct a post-audit.</w:t>
      </w:r>
    </w:p>
    <w:p w14:paraId="3E58233B" w14:textId="77777777" w:rsidR="00DB0E58" w:rsidRPr="00DB0E58" w:rsidRDefault="00DB0E58" w:rsidP="00DB0E58">
      <w:pPr>
        <w:rPr>
          <w:rFonts w:ascii="Arial" w:hAnsi="Arial" w:cs="Arial"/>
          <w:sz w:val="20"/>
          <w:szCs w:val="20"/>
        </w:rPr>
      </w:pPr>
    </w:p>
    <w:p w14:paraId="564C51F1" w14:textId="77777777" w:rsidR="00DB0E58" w:rsidRPr="00DB0E58" w:rsidRDefault="00DB0E58" w:rsidP="00DB0E58">
      <w:pPr>
        <w:rPr>
          <w:rFonts w:ascii="Arial" w:hAnsi="Arial" w:cs="Arial"/>
          <w:sz w:val="20"/>
          <w:szCs w:val="20"/>
        </w:rPr>
      </w:pPr>
      <w:r w:rsidRPr="00DB0E58">
        <w:rPr>
          <w:rFonts w:ascii="Arial" w:hAnsi="Arial" w:cs="Arial"/>
          <w:sz w:val="20"/>
          <w:szCs w:val="20"/>
        </w:rPr>
        <w:t>Categories of capital projects include: (1) Replacement projects for maintaining the business or for cost reduction; (2) Expansion projects; (3) New product or market development; (4) Mandatory projects to meet environmental or regulatory requirements; (5) Other projects, such as research and development or pet projects of senior management.</w:t>
      </w:r>
    </w:p>
    <w:p w14:paraId="48F07DA4" w14:textId="77777777" w:rsidR="00DB0E58" w:rsidRPr="00DB0E58" w:rsidRDefault="00DB0E58" w:rsidP="00DB0E58">
      <w:pPr>
        <w:rPr>
          <w:rFonts w:ascii="Arial" w:hAnsi="Arial" w:cs="Arial"/>
          <w:sz w:val="20"/>
          <w:szCs w:val="20"/>
        </w:rPr>
      </w:pPr>
    </w:p>
    <w:p w14:paraId="4D10D66B" w14:textId="77777777" w:rsidR="00DB0E58" w:rsidRPr="00DB0E58" w:rsidRDefault="00DB0E58" w:rsidP="00DB0E58">
      <w:pPr>
        <w:rPr>
          <w:rFonts w:ascii="Arial" w:hAnsi="Arial" w:cs="Arial"/>
          <w:sz w:val="20"/>
          <w:szCs w:val="20"/>
        </w:rPr>
      </w:pPr>
      <w:r w:rsidRPr="00DB0E58">
        <w:rPr>
          <w:rFonts w:ascii="Arial" w:hAnsi="Arial" w:cs="Arial"/>
          <w:sz w:val="20"/>
          <w:szCs w:val="20"/>
        </w:rPr>
        <w:t>LOS 34.b</w:t>
      </w:r>
    </w:p>
    <w:p w14:paraId="19FE988C" w14:textId="77777777" w:rsidR="00DB0E58" w:rsidRPr="00DB0E58" w:rsidRDefault="00DB0E58" w:rsidP="00DB0E58">
      <w:pPr>
        <w:rPr>
          <w:rFonts w:ascii="Arial" w:hAnsi="Arial" w:cs="Arial"/>
          <w:sz w:val="20"/>
          <w:szCs w:val="20"/>
        </w:rPr>
      </w:pPr>
    </w:p>
    <w:p w14:paraId="572EE5E2" w14:textId="77777777" w:rsidR="00DB0E58" w:rsidRPr="00DB0E58" w:rsidRDefault="00DB0E58" w:rsidP="00DB0E58">
      <w:pPr>
        <w:rPr>
          <w:rFonts w:ascii="Arial" w:hAnsi="Arial" w:cs="Arial"/>
          <w:sz w:val="20"/>
          <w:szCs w:val="20"/>
        </w:rPr>
      </w:pPr>
      <w:r w:rsidRPr="00DB0E58">
        <w:rPr>
          <w:rFonts w:ascii="Arial" w:hAnsi="Arial" w:cs="Arial"/>
          <w:sz w:val="20"/>
          <w:szCs w:val="20"/>
        </w:rPr>
        <w:t>Capital budgeting decisions should be based on incremental after-tax cash flows, the expected differences in after-tax cash flows if a project is undertaken. Sunk (already incurred) costs are not considered, but externalities and cash opportunity costs must be included in project cash flows.</w:t>
      </w:r>
    </w:p>
    <w:p w14:paraId="3D3603B1" w14:textId="77777777" w:rsidR="00DB0E58" w:rsidRPr="00DB0E58" w:rsidRDefault="00DB0E58" w:rsidP="00DB0E58">
      <w:pPr>
        <w:rPr>
          <w:rFonts w:ascii="Arial" w:hAnsi="Arial" w:cs="Arial"/>
          <w:sz w:val="20"/>
          <w:szCs w:val="20"/>
        </w:rPr>
      </w:pPr>
    </w:p>
    <w:p w14:paraId="5C38690D" w14:textId="77777777" w:rsidR="00DB0E58" w:rsidRPr="00DB0E58" w:rsidRDefault="00DB0E58" w:rsidP="00DB0E58">
      <w:pPr>
        <w:rPr>
          <w:rFonts w:ascii="Arial" w:hAnsi="Arial" w:cs="Arial"/>
          <w:sz w:val="20"/>
          <w:szCs w:val="20"/>
        </w:rPr>
      </w:pPr>
      <w:r w:rsidRPr="00DB0E58">
        <w:rPr>
          <w:rFonts w:ascii="Arial" w:hAnsi="Arial" w:cs="Arial"/>
          <w:sz w:val="20"/>
          <w:szCs w:val="20"/>
        </w:rPr>
        <w:t>LOS 34.c</w:t>
      </w:r>
    </w:p>
    <w:p w14:paraId="7B230A0F" w14:textId="77777777" w:rsidR="00DB0E58" w:rsidRPr="00DB0E58" w:rsidRDefault="00DB0E58" w:rsidP="00DB0E58">
      <w:pPr>
        <w:rPr>
          <w:rFonts w:ascii="Arial" w:hAnsi="Arial" w:cs="Arial"/>
          <w:sz w:val="20"/>
          <w:szCs w:val="20"/>
        </w:rPr>
      </w:pPr>
    </w:p>
    <w:p w14:paraId="0A45E8B3" w14:textId="77777777" w:rsidR="00DB0E58" w:rsidRPr="00DB0E58" w:rsidRDefault="00DB0E58" w:rsidP="00DB0E58">
      <w:pPr>
        <w:rPr>
          <w:rFonts w:ascii="Arial" w:hAnsi="Arial" w:cs="Arial"/>
          <w:sz w:val="20"/>
          <w:szCs w:val="20"/>
        </w:rPr>
      </w:pPr>
      <w:r w:rsidRPr="00DB0E58">
        <w:rPr>
          <w:rFonts w:ascii="Arial" w:hAnsi="Arial" w:cs="Arial"/>
          <w:sz w:val="20"/>
          <w:szCs w:val="20"/>
        </w:rPr>
        <w:t>Acceptable independent projects can all be undertaken, while a firm must choose between or among mutually exclusive projects.</w:t>
      </w:r>
    </w:p>
    <w:p w14:paraId="36FCC942" w14:textId="77777777" w:rsidR="00DB0E58" w:rsidRPr="00DB0E58" w:rsidRDefault="00DB0E58" w:rsidP="00DB0E58">
      <w:pPr>
        <w:rPr>
          <w:rFonts w:ascii="Arial" w:hAnsi="Arial" w:cs="Arial"/>
          <w:sz w:val="20"/>
          <w:szCs w:val="20"/>
        </w:rPr>
      </w:pPr>
    </w:p>
    <w:p w14:paraId="1AC1C597" w14:textId="77777777" w:rsidR="00DB0E58" w:rsidRPr="00DB0E58" w:rsidRDefault="00DB0E58" w:rsidP="00DB0E58">
      <w:pPr>
        <w:rPr>
          <w:rFonts w:ascii="Arial" w:hAnsi="Arial" w:cs="Arial"/>
          <w:sz w:val="20"/>
          <w:szCs w:val="20"/>
        </w:rPr>
      </w:pPr>
      <w:r w:rsidRPr="00DB0E58">
        <w:rPr>
          <w:rFonts w:ascii="Arial" w:hAnsi="Arial" w:cs="Arial"/>
          <w:sz w:val="20"/>
          <w:szCs w:val="20"/>
        </w:rPr>
        <w:t>Project sequencing concerns the opportunities for future capital projects that may be created by undertaking a current project.</w:t>
      </w:r>
    </w:p>
    <w:p w14:paraId="16C5F8D1" w14:textId="77777777" w:rsidR="00DB0E58" w:rsidRPr="00DB0E58" w:rsidRDefault="00DB0E58" w:rsidP="00DB0E58">
      <w:pPr>
        <w:rPr>
          <w:rFonts w:ascii="Arial" w:hAnsi="Arial" w:cs="Arial"/>
          <w:sz w:val="20"/>
          <w:szCs w:val="20"/>
        </w:rPr>
      </w:pPr>
    </w:p>
    <w:p w14:paraId="43E71DED" w14:textId="77777777" w:rsidR="00DB0E58" w:rsidRPr="00DB0E58" w:rsidRDefault="00DB0E58" w:rsidP="00DB0E58">
      <w:pPr>
        <w:rPr>
          <w:rFonts w:ascii="Arial" w:hAnsi="Arial" w:cs="Arial"/>
          <w:sz w:val="20"/>
          <w:szCs w:val="20"/>
        </w:rPr>
      </w:pPr>
      <w:r w:rsidRPr="00DB0E58">
        <w:rPr>
          <w:rFonts w:ascii="Arial" w:hAnsi="Arial" w:cs="Arial"/>
          <w:sz w:val="20"/>
          <w:szCs w:val="20"/>
        </w:rPr>
        <w:t>If a firm cannot undertake all profitable projects because of limited ability to raise capital, the firm should choose that group of fundable positive NPV projects with the highest total NPV.</w:t>
      </w:r>
    </w:p>
    <w:p w14:paraId="1473E930" w14:textId="77777777" w:rsidR="00DB0E58" w:rsidRPr="00DB0E58" w:rsidRDefault="00DB0E58" w:rsidP="00DB0E58">
      <w:pPr>
        <w:rPr>
          <w:rFonts w:ascii="Arial" w:hAnsi="Arial" w:cs="Arial"/>
          <w:sz w:val="20"/>
          <w:szCs w:val="20"/>
        </w:rPr>
      </w:pPr>
    </w:p>
    <w:p w14:paraId="3DC592FB" w14:textId="77777777" w:rsidR="00DB0E58" w:rsidRPr="00DB0E58" w:rsidRDefault="00DB0E58" w:rsidP="00DB0E58">
      <w:pPr>
        <w:rPr>
          <w:rFonts w:ascii="Arial" w:hAnsi="Arial" w:cs="Arial"/>
          <w:sz w:val="20"/>
          <w:szCs w:val="20"/>
        </w:rPr>
      </w:pPr>
      <w:r w:rsidRPr="00DB0E58">
        <w:rPr>
          <w:rFonts w:ascii="Arial" w:hAnsi="Arial" w:cs="Arial"/>
          <w:sz w:val="20"/>
          <w:szCs w:val="20"/>
        </w:rPr>
        <w:t>LOS 34.d</w:t>
      </w:r>
    </w:p>
    <w:p w14:paraId="5FA47808" w14:textId="77777777" w:rsidR="00DB0E58" w:rsidRPr="00DB0E58" w:rsidRDefault="00DB0E58" w:rsidP="00DB0E58">
      <w:pPr>
        <w:rPr>
          <w:rFonts w:ascii="Arial" w:hAnsi="Arial" w:cs="Arial"/>
          <w:sz w:val="20"/>
          <w:szCs w:val="20"/>
        </w:rPr>
      </w:pPr>
    </w:p>
    <w:p w14:paraId="439DA45F" w14:textId="77777777" w:rsidR="00DB0E58" w:rsidRPr="00DB0E58" w:rsidRDefault="00DB0E58" w:rsidP="00DB0E58">
      <w:pPr>
        <w:rPr>
          <w:rFonts w:ascii="Arial" w:hAnsi="Arial" w:cs="Arial"/>
          <w:sz w:val="20"/>
          <w:szCs w:val="20"/>
        </w:rPr>
      </w:pPr>
      <w:r w:rsidRPr="00DB0E58">
        <w:rPr>
          <w:rFonts w:ascii="Arial" w:hAnsi="Arial" w:cs="Arial"/>
          <w:sz w:val="20"/>
          <w:szCs w:val="20"/>
        </w:rPr>
        <w:t>NPV is the sum of the present values of a project’s expected cash flows and represents the increase in firm value from undertaking a project. Positive NPV projects should be undertaken, but negative NPV projects are expected to decrease the value of the firm.</w:t>
      </w:r>
    </w:p>
    <w:p w14:paraId="11B7A5B5" w14:textId="77777777" w:rsidR="00DB0E58" w:rsidRPr="00DB0E58" w:rsidRDefault="00DB0E58" w:rsidP="00DB0E58">
      <w:pPr>
        <w:rPr>
          <w:rFonts w:ascii="Arial" w:hAnsi="Arial" w:cs="Arial"/>
          <w:sz w:val="20"/>
          <w:szCs w:val="20"/>
        </w:rPr>
      </w:pPr>
    </w:p>
    <w:p w14:paraId="4D5CD863" w14:textId="77777777" w:rsidR="00DB0E58" w:rsidRPr="00DB0E58" w:rsidRDefault="00DB0E58" w:rsidP="00DB0E58">
      <w:pPr>
        <w:rPr>
          <w:rFonts w:ascii="Arial" w:hAnsi="Arial" w:cs="Arial"/>
          <w:sz w:val="20"/>
          <w:szCs w:val="20"/>
        </w:rPr>
      </w:pPr>
      <w:r w:rsidRPr="00DB0E58">
        <w:rPr>
          <w:rFonts w:ascii="Arial" w:hAnsi="Arial" w:cs="Arial"/>
          <w:sz w:val="20"/>
          <w:szCs w:val="20"/>
        </w:rPr>
        <w:t>The IRR is the discount rate that equates the present values of the project’s expected cash inflows and outflows and, thus, is the discount rate for which the NPV of a project is zero. A project for which the IRR is greater (less) than the discount rate will have an NPV that is positive (negative) and should be accepted (not be accepted).</w:t>
      </w:r>
    </w:p>
    <w:p w14:paraId="7DE61A50" w14:textId="77777777" w:rsidR="00DB0E58" w:rsidRPr="00DB0E58" w:rsidRDefault="00DB0E58" w:rsidP="00DB0E58">
      <w:pPr>
        <w:rPr>
          <w:rFonts w:ascii="Arial" w:hAnsi="Arial" w:cs="Arial"/>
          <w:sz w:val="20"/>
          <w:szCs w:val="20"/>
        </w:rPr>
      </w:pPr>
    </w:p>
    <w:p w14:paraId="7F8C72C8" w14:textId="77777777" w:rsidR="00DB0E58" w:rsidRPr="00DB0E58" w:rsidRDefault="00DB0E58" w:rsidP="00DB0E58">
      <w:pPr>
        <w:rPr>
          <w:rFonts w:ascii="Arial" w:hAnsi="Arial" w:cs="Arial"/>
          <w:sz w:val="20"/>
          <w:szCs w:val="20"/>
        </w:rPr>
      </w:pPr>
      <w:r w:rsidRPr="00DB0E58">
        <w:rPr>
          <w:rFonts w:ascii="Arial" w:hAnsi="Arial" w:cs="Arial"/>
          <w:sz w:val="20"/>
          <w:szCs w:val="20"/>
        </w:rPr>
        <w:t>The payback (discounted payback) period is the number of years required to recover the original cost of the project (original cost of the project in present value terms).</w:t>
      </w:r>
    </w:p>
    <w:p w14:paraId="4A1C6F72" w14:textId="77777777" w:rsidR="00DB0E58" w:rsidRPr="00DB0E58" w:rsidRDefault="00DB0E58" w:rsidP="00DB0E58">
      <w:pPr>
        <w:rPr>
          <w:rFonts w:ascii="Arial" w:hAnsi="Arial" w:cs="Arial"/>
          <w:sz w:val="20"/>
          <w:szCs w:val="20"/>
        </w:rPr>
      </w:pPr>
    </w:p>
    <w:p w14:paraId="3FEC4DF1" w14:textId="77777777" w:rsidR="00DB0E58" w:rsidRDefault="00DB0E58" w:rsidP="00DB0E58">
      <w:pPr>
        <w:rPr>
          <w:rFonts w:ascii="Arial" w:hAnsi="Arial" w:cs="Arial" w:hint="eastAsia"/>
          <w:sz w:val="20"/>
          <w:szCs w:val="20"/>
        </w:rPr>
      </w:pPr>
      <w:r w:rsidRPr="00DB0E58">
        <w:rPr>
          <w:rFonts w:ascii="Arial" w:hAnsi="Arial" w:cs="Arial"/>
          <w:sz w:val="20"/>
          <w:szCs w:val="20"/>
        </w:rPr>
        <w:t>The profitability index is the ratio of the present value of a project’s future cash flows to its initial cash outlay and is greater than one when a project’s NPV is positive.</w:t>
      </w:r>
    </w:p>
    <w:p w14:paraId="6776F51C" w14:textId="77777777" w:rsidR="009F16FA" w:rsidRDefault="009F16FA" w:rsidP="00DB0E58">
      <w:pPr>
        <w:rPr>
          <w:rFonts w:ascii="Arial" w:hAnsi="Arial" w:cs="Arial" w:hint="eastAsia"/>
          <w:sz w:val="20"/>
          <w:szCs w:val="20"/>
        </w:rPr>
      </w:pPr>
    </w:p>
    <w:p w14:paraId="59A615DA" w14:textId="77777777" w:rsidR="009F16FA" w:rsidRPr="009F16FA" w:rsidRDefault="009F16FA" w:rsidP="009F16FA">
      <w:pPr>
        <w:rPr>
          <w:rFonts w:ascii="Arial" w:hAnsi="Arial" w:cs="Arial"/>
          <w:sz w:val="20"/>
          <w:szCs w:val="20"/>
        </w:rPr>
      </w:pPr>
      <w:r w:rsidRPr="009F16FA">
        <w:rPr>
          <w:rFonts w:ascii="Arial" w:hAnsi="Arial" w:cs="Arial"/>
          <w:sz w:val="20"/>
          <w:szCs w:val="20"/>
        </w:rPr>
        <w:t>LOS 34.e</w:t>
      </w:r>
    </w:p>
    <w:p w14:paraId="53A12E80" w14:textId="77777777" w:rsidR="009F16FA" w:rsidRPr="009F16FA" w:rsidRDefault="009F16FA" w:rsidP="009F16FA">
      <w:pPr>
        <w:rPr>
          <w:rFonts w:ascii="Arial" w:hAnsi="Arial" w:cs="Arial"/>
          <w:sz w:val="20"/>
          <w:szCs w:val="20"/>
        </w:rPr>
      </w:pPr>
    </w:p>
    <w:p w14:paraId="6981CA53" w14:textId="77777777" w:rsidR="009F16FA" w:rsidRPr="009F16FA" w:rsidRDefault="009F16FA" w:rsidP="009F16FA">
      <w:pPr>
        <w:rPr>
          <w:rFonts w:ascii="Arial" w:hAnsi="Arial" w:cs="Arial"/>
          <w:sz w:val="20"/>
          <w:szCs w:val="20"/>
        </w:rPr>
      </w:pPr>
      <w:r w:rsidRPr="009F16FA">
        <w:rPr>
          <w:rFonts w:ascii="Arial" w:hAnsi="Arial" w:cs="Arial"/>
          <w:sz w:val="20"/>
          <w:szCs w:val="20"/>
        </w:rPr>
        <w:t>An NPV profile plots a project’s NPV as a function of the discount rate, and it intersects the horizontal axis (NPV = 0) at its IRR. If two NPV profiles intersect at some discount rate, that is the crossover rate, and different projects are preferred at discount rates higher and lower than the crossover rate.</w:t>
      </w:r>
    </w:p>
    <w:p w14:paraId="333BCC96" w14:textId="77777777" w:rsidR="009F16FA" w:rsidRPr="009F16FA" w:rsidRDefault="009F16FA" w:rsidP="009F16FA">
      <w:pPr>
        <w:rPr>
          <w:rFonts w:ascii="Arial" w:hAnsi="Arial" w:cs="Arial"/>
          <w:sz w:val="20"/>
          <w:szCs w:val="20"/>
        </w:rPr>
      </w:pPr>
    </w:p>
    <w:p w14:paraId="182468B1" w14:textId="77777777" w:rsidR="009F16FA" w:rsidRPr="009F16FA" w:rsidRDefault="009F16FA" w:rsidP="009F16FA">
      <w:pPr>
        <w:rPr>
          <w:rFonts w:ascii="Arial" w:hAnsi="Arial" w:cs="Arial"/>
          <w:sz w:val="20"/>
          <w:szCs w:val="20"/>
        </w:rPr>
      </w:pPr>
      <w:r w:rsidRPr="009F16FA">
        <w:rPr>
          <w:rFonts w:ascii="Arial" w:hAnsi="Arial" w:cs="Arial"/>
          <w:sz w:val="20"/>
          <w:szCs w:val="20"/>
        </w:rPr>
        <w:t>For projects with conventional cash flow patterns, the NPV and IRR methods produce the same accept/reject decision, but projects with unconventional cash flow patterns can produce multiple IRRs or no IRR.</w:t>
      </w:r>
    </w:p>
    <w:p w14:paraId="47D10BBE" w14:textId="77777777" w:rsidR="009F16FA" w:rsidRPr="009F16FA" w:rsidRDefault="009F16FA" w:rsidP="009F16FA">
      <w:pPr>
        <w:rPr>
          <w:rFonts w:ascii="Arial" w:hAnsi="Arial" w:cs="Arial"/>
          <w:sz w:val="20"/>
          <w:szCs w:val="20"/>
        </w:rPr>
      </w:pPr>
    </w:p>
    <w:p w14:paraId="39BC4FC4" w14:textId="77777777" w:rsidR="009F16FA" w:rsidRPr="009F16FA" w:rsidRDefault="009F16FA" w:rsidP="009F16FA">
      <w:pPr>
        <w:rPr>
          <w:rFonts w:ascii="Arial" w:hAnsi="Arial" w:cs="Arial"/>
          <w:sz w:val="20"/>
          <w:szCs w:val="20"/>
        </w:rPr>
      </w:pPr>
      <w:r w:rsidRPr="009F16FA">
        <w:rPr>
          <w:rFonts w:ascii="Arial" w:hAnsi="Arial" w:cs="Arial"/>
          <w:sz w:val="20"/>
          <w:szCs w:val="20"/>
        </w:rPr>
        <w:t>Mutually exclusive projects can be ranked based on their NPVs, but rankings based on other methods will not necessarily maximize the value of the firm.</w:t>
      </w:r>
    </w:p>
    <w:p w14:paraId="084CE095" w14:textId="77777777" w:rsidR="009F16FA" w:rsidRPr="009F16FA" w:rsidRDefault="009F16FA" w:rsidP="009F16FA">
      <w:pPr>
        <w:rPr>
          <w:rFonts w:ascii="Arial" w:hAnsi="Arial" w:cs="Arial"/>
          <w:sz w:val="20"/>
          <w:szCs w:val="20"/>
        </w:rPr>
      </w:pPr>
    </w:p>
    <w:p w14:paraId="08506775" w14:textId="77777777" w:rsidR="009F16FA" w:rsidRPr="009F16FA" w:rsidRDefault="009F16FA" w:rsidP="009F16FA">
      <w:pPr>
        <w:rPr>
          <w:rFonts w:ascii="Arial" w:hAnsi="Arial" w:cs="Arial"/>
          <w:sz w:val="20"/>
          <w:szCs w:val="20"/>
        </w:rPr>
      </w:pPr>
      <w:r w:rsidRPr="009F16FA">
        <w:rPr>
          <w:rFonts w:ascii="Arial" w:hAnsi="Arial" w:cs="Arial"/>
          <w:sz w:val="20"/>
          <w:szCs w:val="20"/>
        </w:rPr>
        <w:t>LOS 34.f</w:t>
      </w:r>
    </w:p>
    <w:p w14:paraId="0F9DB73E" w14:textId="77777777" w:rsidR="009F16FA" w:rsidRPr="009F16FA" w:rsidRDefault="009F16FA" w:rsidP="009F16FA">
      <w:pPr>
        <w:rPr>
          <w:rFonts w:ascii="Arial" w:hAnsi="Arial" w:cs="Arial"/>
          <w:sz w:val="20"/>
          <w:szCs w:val="20"/>
        </w:rPr>
      </w:pPr>
    </w:p>
    <w:p w14:paraId="308B80CB" w14:textId="77777777" w:rsidR="009F16FA" w:rsidRDefault="009F16FA" w:rsidP="009F16FA">
      <w:pPr>
        <w:rPr>
          <w:rFonts w:ascii="Arial" w:hAnsi="Arial" w:cs="Arial" w:hint="eastAsia"/>
          <w:sz w:val="20"/>
          <w:szCs w:val="20"/>
        </w:rPr>
      </w:pPr>
      <w:r w:rsidRPr="009F16FA">
        <w:rPr>
          <w:rFonts w:ascii="Arial" w:hAnsi="Arial" w:cs="Arial"/>
          <w:sz w:val="20"/>
          <w:szCs w:val="20"/>
        </w:rPr>
        <w:t>The NPV method is a measure of the expected change in company value from undertaking a project. A firm’s stock price may be affected to the extent that engaging in a project with that NPV was previously unanticipated by investors.</w:t>
      </w:r>
    </w:p>
    <w:p w14:paraId="2FD63AF2" w14:textId="77777777" w:rsidR="000951C5" w:rsidRDefault="000951C5" w:rsidP="009F16FA">
      <w:pPr>
        <w:rPr>
          <w:rFonts w:ascii="Arial" w:hAnsi="Arial" w:cs="Arial" w:hint="eastAsia"/>
          <w:sz w:val="20"/>
          <w:szCs w:val="20"/>
        </w:rPr>
      </w:pPr>
    </w:p>
    <w:p w14:paraId="48A01F1E" w14:textId="0F772E5A" w:rsidR="000951C5" w:rsidRDefault="000951C5" w:rsidP="009F16FA">
      <w:pPr>
        <w:rPr>
          <w:rFonts w:ascii="Arial" w:hAnsi="Arial" w:cs="Arial" w:hint="eastAsia"/>
          <w:sz w:val="20"/>
          <w:szCs w:val="20"/>
        </w:rPr>
      </w:pPr>
      <w:r>
        <w:rPr>
          <w:rFonts w:ascii="Arial" w:hAnsi="Arial" w:cs="Arial" w:hint="eastAsia"/>
          <w:sz w:val="20"/>
          <w:szCs w:val="20"/>
        </w:rPr>
        <w:t>Reading 35 Cost of Capital</w:t>
      </w:r>
    </w:p>
    <w:p w14:paraId="6969FBAB" w14:textId="77777777" w:rsidR="000951C5" w:rsidRPr="000951C5" w:rsidRDefault="000951C5" w:rsidP="000951C5">
      <w:pPr>
        <w:rPr>
          <w:rFonts w:ascii="Arial" w:hAnsi="Arial" w:cs="Arial"/>
          <w:sz w:val="20"/>
          <w:szCs w:val="20"/>
        </w:rPr>
      </w:pPr>
      <w:r w:rsidRPr="000951C5">
        <w:rPr>
          <w:rFonts w:ascii="Arial" w:hAnsi="Arial" w:cs="Arial"/>
          <w:sz w:val="20"/>
          <w:szCs w:val="20"/>
        </w:rPr>
        <w:t>LOS 35.a</w:t>
      </w:r>
    </w:p>
    <w:p w14:paraId="21E8AD15" w14:textId="77777777" w:rsidR="000951C5" w:rsidRPr="000951C5" w:rsidRDefault="000951C5" w:rsidP="000951C5">
      <w:pPr>
        <w:rPr>
          <w:rFonts w:ascii="Arial" w:hAnsi="Arial" w:cs="Arial"/>
          <w:sz w:val="20"/>
          <w:szCs w:val="20"/>
        </w:rPr>
      </w:pPr>
    </w:p>
    <w:p w14:paraId="7644CFEC" w14:textId="77777777" w:rsidR="000951C5" w:rsidRPr="000951C5" w:rsidRDefault="000951C5" w:rsidP="000951C5">
      <w:pPr>
        <w:rPr>
          <w:rFonts w:ascii="Arial" w:hAnsi="Arial" w:cs="Arial"/>
          <w:sz w:val="20"/>
          <w:szCs w:val="20"/>
        </w:rPr>
      </w:pPr>
      <w:r w:rsidRPr="000951C5">
        <w:rPr>
          <w:rFonts w:ascii="Arial" w:hAnsi="Arial" w:cs="Arial"/>
          <w:sz w:val="20"/>
          <w:szCs w:val="20"/>
        </w:rPr>
        <w:t xml:space="preserve">WACC = (w </w:t>
      </w:r>
      <w:proofErr w:type="gramStart"/>
      <w:r w:rsidRPr="000951C5">
        <w:rPr>
          <w:rFonts w:ascii="Arial" w:hAnsi="Arial" w:cs="Arial"/>
          <w:sz w:val="20"/>
          <w:szCs w:val="20"/>
        </w:rPr>
        <w:t>d )</w:t>
      </w:r>
      <w:proofErr w:type="gramEnd"/>
      <w:r w:rsidRPr="000951C5">
        <w:rPr>
          <w:rFonts w:ascii="Arial" w:hAnsi="Arial" w:cs="Arial"/>
          <w:sz w:val="20"/>
          <w:szCs w:val="20"/>
        </w:rPr>
        <w:t xml:space="preserve">(k d )(1 − t) + (w </w:t>
      </w:r>
      <w:proofErr w:type="spellStart"/>
      <w:r w:rsidRPr="000951C5">
        <w:rPr>
          <w:rFonts w:ascii="Arial" w:hAnsi="Arial" w:cs="Arial"/>
          <w:sz w:val="20"/>
          <w:szCs w:val="20"/>
        </w:rPr>
        <w:t>ps</w:t>
      </w:r>
      <w:proofErr w:type="spellEnd"/>
      <w:r w:rsidRPr="000951C5">
        <w:rPr>
          <w:rFonts w:ascii="Arial" w:hAnsi="Arial" w:cs="Arial"/>
          <w:sz w:val="20"/>
          <w:szCs w:val="20"/>
        </w:rPr>
        <w:t xml:space="preserve"> )(k </w:t>
      </w:r>
      <w:proofErr w:type="spellStart"/>
      <w:r w:rsidRPr="000951C5">
        <w:rPr>
          <w:rFonts w:ascii="Arial" w:hAnsi="Arial" w:cs="Arial"/>
          <w:sz w:val="20"/>
          <w:szCs w:val="20"/>
        </w:rPr>
        <w:t>ps</w:t>
      </w:r>
      <w:proofErr w:type="spellEnd"/>
      <w:r w:rsidRPr="000951C5">
        <w:rPr>
          <w:rFonts w:ascii="Arial" w:hAnsi="Arial" w:cs="Arial"/>
          <w:sz w:val="20"/>
          <w:szCs w:val="20"/>
        </w:rPr>
        <w:t xml:space="preserve"> ) + (w </w:t>
      </w:r>
      <w:proofErr w:type="spellStart"/>
      <w:r w:rsidRPr="000951C5">
        <w:rPr>
          <w:rFonts w:ascii="Arial" w:hAnsi="Arial" w:cs="Arial"/>
          <w:sz w:val="20"/>
          <w:szCs w:val="20"/>
        </w:rPr>
        <w:t>ce</w:t>
      </w:r>
      <w:proofErr w:type="spellEnd"/>
      <w:r w:rsidRPr="000951C5">
        <w:rPr>
          <w:rFonts w:ascii="Arial" w:hAnsi="Arial" w:cs="Arial"/>
          <w:sz w:val="20"/>
          <w:szCs w:val="20"/>
        </w:rPr>
        <w:t xml:space="preserve"> )(k </w:t>
      </w:r>
      <w:proofErr w:type="spellStart"/>
      <w:r w:rsidRPr="000951C5">
        <w:rPr>
          <w:rFonts w:ascii="Arial" w:hAnsi="Arial" w:cs="Arial"/>
          <w:sz w:val="20"/>
          <w:szCs w:val="20"/>
        </w:rPr>
        <w:t>ce</w:t>
      </w:r>
      <w:proofErr w:type="spellEnd"/>
      <w:r w:rsidRPr="000951C5">
        <w:rPr>
          <w:rFonts w:ascii="Arial" w:hAnsi="Arial" w:cs="Arial"/>
          <w:sz w:val="20"/>
          <w:szCs w:val="20"/>
        </w:rPr>
        <w:t xml:space="preserve"> )</w:t>
      </w:r>
    </w:p>
    <w:p w14:paraId="48E99402" w14:textId="77777777" w:rsidR="000951C5" w:rsidRPr="000951C5" w:rsidRDefault="000951C5" w:rsidP="000951C5">
      <w:pPr>
        <w:rPr>
          <w:rFonts w:ascii="Arial" w:hAnsi="Arial" w:cs="Arial"/>
          <w:sz w:val="20"/>
          <w:szCs w:val="20"/>
        </w:rPr>
      </w:pPr>
    </w:p>
    <w:p w14:paraId="43DFF38F" w14:textId="77777777" w:rsidR="000951C5" w:rsidRPr="000951C5" w:rsidRDefault="000951C5" w:rsidP="000951C5">
      <w:pPr>
        <w:rPr>
          <w:rFonts w:ascii="Arial" w:hAnsi="Arial" w:cs="Arial"/>
          <w:sz w:val="20"/>
          <w:szCs w:val="20"/>
        </w:rPr>
      </w:pPr>
      <w:r w:rsidRPr="000951C5">
        <w:rPr>
          <w:rFonts w:ascii="Arial" w:hAnsi="Arial" w:cs="Arial"/>
          <w:sz w:val="20"/>
          <w:szCs w:val="20"/>
        </w:rPr>
        <w:t>The weighted average cost of capital, or WACC, is calculated using weights based on the market values of each component of a firm’s capital structure and is the correct discount rate to use to discount the cash flows of projects with risk equal to the average risk of a firm’s projects.</w:t>
      </w:r>
    </w:p>
    <w:p w14:paraId="018F7ED5" w14:textId="77777777" w:rsidR="000951C5" w:rsidRPr="000951C5" w:rsidRDefault="000951C5" w:rsidP="000951C5">
      <w:pPr>
        <w:rPr>
          <w:rFonts w:ascii="Arial" w:hAnsi="Arial" w:cs="Arial"/>
          <w:sz w:val="20"/>
          <w:szCs w:val="20"/>
        </w:rPr>
      </w:pPr>
    </w:p>
    <w:p w14:paraId="79016899" w14:textId="77777777" w:rsidR="000951C5" w:rsidRPr="000951C5" w:rsidRDefault="000951C5" w:rsidP="000951C5">
      <w:pPr>
        <w:rPr>
          <w:rFonts w:ascii="Arial" w:hAnsi="Arial" w:cs="Arial"/>
          <w:sz w:val="20"/>
          <w:szCs w:val="20"/>
        </w:rPr>
      </w:pPr>
      <w:r w:rsidRPr="000951C5">
        <w:rPr>
          <w:rFonts w:ascii="Arial" w:hAnsi="Arial" w:cs="Arial"/>
          <w:sz w:val="20"/>
          <w:szCs w:val="20"/>
        </w:rPr>
        <w:t>LOS 35.b</w:t>
      </w:r>
    </w:p>
    <w:p w14:paraId="4616B0C4" w14:textId="77777777" w:rsidR="000951C5" w:rsidRPr="000951C5" w:rsidRDefault="000951C5" w:rsidP="000951C5">
      <w:pPr>
        <w:rPr>
          <w:rFonts w:ascii="Arial" w:hAnsi="Arial" w:cs="Arial"/>
          <w:sz w:val="20"/>
          <w:szCs w:val="20"/>
        </w:rPr>
      </w:pPr>
    </w:p>
    <w:p w14:paraId="6F8825E5" w14:textId="77777777" w:rsidR="000951C5" w:rsidRPr="000951C5" w:rsidRDefault="000951C5" w:rsidP="000951C5">
      <w:pPr>
        <w:rPr>
          <w:rFonts w:ascii="Arial" w:hAnsi="Arial" w:cs="Arial"/>
          <w:sz w:val="20"/>
          <w:szCs w:val="20"/>
        </w:rPr>
      </w:pPr>
      <w:r w:rsidRPr="000951C5">
        <w:rPr>
          <w:rFonts w:ascii="Arial" w:hAnsi="Arial" w:cs="Arial"/>
          <w:sz w:val="20"/>
          <w:szCs w:val="20"/>
        </w:rPr>
        <w:t>Interest expense on a firm’s debt is tax deductible, so the pre-tax cost of debt must be reduced by the firm’s marginal tax rate to get an after-tax cost of debt capital:</w:t>
      </w:r>
    </w:p>
    <w:p w14:paraId="5522A219" w14:textId="77777777" w:rsidR="000951C5" w:rsidRPr="000951C5" w:rsidRDefault="000951C5" w:rsidP="000951C5">
      <w:pPr>
        <w:rPr>
          <w:rFonts w:ascii="Arial" w:hAnsi="Arial" w:cs="Arial"/>
          <w:sz w:val="20"/>
          <w:szCs w:val="20"/>
        </w:rPr>
      </w:pPr>
    </w:p>
    <w:p w14:paraId="2CB1861B" w14:textId="77777777" w:rsidR="000951C5" w:rsidRPr="000951C5" w:rsidRDefault="000951C5" w:rsidP="000951C5">
      <w:pPr>
        <w:rPr>
          <w:rFonts w:ascii="Arial" w:hAnsi="Arial" w:cs="Arial"/>
          <w:sz w:val="20"/>
          <w:szCs w:val="20"/>
        </w:rPr>
      </w:pPr>
      <w:r w:rsidRPr="000951C5">
        <w:rPr>
          <w:rFonts w:ascii="Arial" w:hAnsi="Arial" w:cs="Arial"/>
          <w:sz w:val="20"/>
          <w:szCs w:val="20"/>
        </w:rPr>
        <w:t>after-tax cost of debt = k d (1 − firm’s marginal tax rate)</w:t>
      </w:r>
    </w:p>
    <w:p w14:paraId="3172784D" w14:textId="77777777" w:rsidR="000951C5" w:rsidRPr="000951C5" w:rsidRDefault="000951C5" w:rsidP="000951C5">
      <w:pPr>
        <w:rPr>
          <w:rFonts w:ascii="Arial" w:hAnsi="Arial" w:cs="Arial"/>
          <w:sz w:val="20"/>
          <w:szCs w:val="20"/>
        </w:rPr>
      </w:pPr>
    </w:p>
    <w:p w14:paraId="0F7DE82F" w14:textId="77777777" w:rsidR="000951C5" w:rsidRPr="000951C5" w:rsidRDefault="000951C5" w:rsidP="000951C5">
      <w:pPr>
        <w:rPr>
          <w:rFonts w:ascii="Arial" w:hAnsi="Arial" w:cs="Arial"/>
          <w:sz w:val="20"/>
          <w:szCs w:val="20"/>
        </w:rPr>
      </w:pPr>
      <w:r w:rsidRPr="000951C5">
        <w:rPr>
          <w:rFonts w:ascii="Arial" w:hAnsi="Arial" w:cs="Arial"/>
          <w:sz w:val="20"/>
          <w:szCs w:val="20"/>
        </w:rPr>
        <w:t>The pre-tax and after-tax capital costs are equal for both preferred stock and common equity because dividends paid by the firm are not tax deductible.</w:t>
      </w:r>
    </w:p>
    <w:p w14:paraId="6C410E1E" w14:textId="77777777" w:rsidR="000951C5" w:rsidRPr="000951C5" w:rsidRDefault="000951C5" w:rsidP="000951C5">
      <w:pPr>
        <w:rPr>
          <w:rFonts w:ascii="Arial" w:hAnsi="Arial" w:cs="Arial"/>
          <w:sz w:val="20"/>
          <w:szCs w:val="20"/>
        </w:rPr>
      </w:pPr>
    </w:p>
    <w:p w14:paraId="16C773D6" w14:textId="77777777" w:rsidR="000951C5" w:rsidRPr="000951C5" w:rsidRDefault="000951C5" w:rsidP="000951C5">
      <w:pPr>
        <w:rPr>
          <w:rFonts w:ascii="Arial" w:hAnsi="Arial" w:cs="Arial"/>
          <w:sz w:val="20"/>
          <w:szCs w:val="20"/>
        </w:rPr>
      </w:pPr>
      <w:r w:rsidRPr="000951C5">
        <w:rPr>
          <w:rFonts w:ascii="Arial" w:hAnsi="Arial" w:cs="Arial"/>
          <w:sz w:val="20"/>
          <w:szCs w:val="20"/>
        </w:rPr>
        <w:t>LOS 35.c</w:t>
      </w:r>
    </w:p>
    <w:p w14:paraId="7CB3919C" w14:textId="77777777" w:rsidR="000951C5" w:rsidRPr="000951C5" w:rsidRDefault="000951C5" w:rsidP="000951C5">
      <w:pPr>
        <w:rPr>
          <w:rFonts w:ascii="Arial" w:hAnsi="Arial" w:cs="Arial"/>
          <w:sz w:val="20"/>
          <w:szCs w:val="20"/>
        </w:rPr>
      </w:pPr>
    </w:p>
    <w:p w14:paraId="0FE608B5" w14:textId="77777777" w:rsidR="000951C5" w:rsidRPr="000951C5" w:rsidRDefault="000951C5" w:rsidP="000951C5">
      <w:pPr>
        <w:rPr>
          <w:rFonts w:ascii="Arial" w:hAnsi="Arial" w:cs="Arial"/>
          <w:sz w:val="20"/>
          <w:szCs w:val="20"/>
        </w:rPr>
      </w:pPr>
      <w:r w:rsidRPr="000951C5">
        <w:rPr>
          <w:rFonts w:ascii="Arial" w:hAnsi="Arial" w:cs="Arial"/>
          <w:sz w:val="20"/>
          <w:szCs w:val="20"/>
        </w:rPr>
        <w:t>WACC should be calculated based on a firm’s target capital structure weights.</w:t>
      </w:r>
    </w:p>
    <w:p w14:paraId="06E8C520" w14:textId="77777777" w:rsidR="000951C5" w:rsidRPr="000951C5" w:rsidRDefault="000951C5" w:rsidP="000951C5">
      <w:pPr>
        <w:rPr>
          <w:rFonts w:ascii="Arial" w:hAnsi="Arial" w:cs="Arial"/>
          <w:sz w:val="20"/>
          <w:szCs w:val="20"/>
        </w:rPr>
      </w:pPr>
    </w:p>
    <w:p w14:paraId="2ADF0709" w14:textId="77777777" w:rsidR="000951C5" w:rsidRPr="000951C5" w:rsidRDefault="000951C5" w:rsidP="000951C5">
      <w:pPr>
        <w:rPr>
          <w:rFonts w:ascii="Arial" w:hAnsi="Arial" w:cs="Arial"/>
          <w:sz w:val="20"/>
          <w:szCs w:val="20"/>
        </w:rPr>
      </w:pPr>
      <w:r w:rsidRPr="000951C5">
        <w:rPr>
          <w:rFonts w:ascii="Arial" w:hAnsi="Arial" w:cs="Arial"/>
          <w:sz w:val="20"/>
          <w:szCs w:val="20"/>
        </w:rPr>
        <w:t>If information on a firm’s target capital structure is not available, an analyst can use the firm’s current capital structure, based on market values, or the average capital structure in the firm’s industry as estimates of the target capital structure.</w:t>
      </w:r>
    </w:p>
    <w:p w14:paraId="491DB6C4" w14:textId="77777777" w:rsidR="000951C5" w:rsidRPr="000951C5" w:rsidRDefault="000951C5" w:rsidP="000951C5">
      <w:pPr>
        <w:rPr>
          <w:rFonts w:ascii="Arial" w:hAnsi="Arial" w:cs="Arial"/>
          <w:sz w:val="20"/>
          <w:szCs w:val="20"/>
        </w:rPr>
      </w:pPr>
    </w:p>
    <w:p w14:paraId="13F95685" w14:textId="77777777" w:rsidR="000951C5" w:rsidRPr="000951C5" w:rsidRDefault="000951C5" w:rsidP="000951C5">
      <w:pPr>
        <w:rPr>
          <w:rFonts w:ascii="Arial" w:hAnsi="Arial" w:cs="Arial"/>
          <w:sz w:val="20"/>
          <w:szCs w:val="20"/>
        </w:rPr>
      </w:pPr>
      <w:r w:rsidRPr="000951C5">
        <w:rPr>
          <w:rFonts w:ascii="Arial" w:hAnsi="Arial" w:cs="Arial"/>
          <w:sz w:val="20"/>
          <w:szCs w:val="20"/>
        </w:rPr>
        <w:t>LOS 35.d</w:t>
      </w:r>
    </w:p>
    <w:p w14:paraId="5F78F392" w14:textId="77777777" w:rsidR="000951C5" w:rsidRPr="000951C5" w:rsidRDefault="000951C5" w:rsidP="000951C5">
      <w:pPr>
        <w:rPr>
          <w:rFonts w:ascii="Arial" w:hAnsi="Arial" w:cs="Arial"/>
          <w:sz w:val="20"/>
          <w:szCs w:val="20"/>
        </w:rPr>
      </w:pPr>
    </w:p>
    <w:p w14:paraId="3E251E47" w14:textId="77777777" w:rsidR="000951C5" w:rsidRPr="000951C5" w:rsidRDefault="000951C5" w:rsidP="000951C5">
      <w:pPr>
        <w:rPr>
          <w:rFonts w:ascii="Arial" w:hAnsi="Arial" w:cs="Arial"/>
          <w:sz w:val="20"/>
          <w:szCs w:val="20"/>
        </w:rPr>
      </w:pPr>
      <w:r w:rsidRPr="000951C5">
        <w:rPr>
          <w:rFonts w:ascii="Arial" w:hAnsi="Arial" w:cs="Arial"/>
          <w:sz w:val="20"/>
          <w:szCs w:val="20"/>
        </w:rPr>
        <w:t>A firm’s marginal cost of capital (WACC at each level of capital investment) increases as it needs to raise larger amounts of capital. This is shown by an upward-sloping marginal cost of capital curve.</w:t>
      </w:r>
    </w:p>
    <w:p w14:paraId="31075566" w14:textId="77777777" w:rsidR="000951C5" w:rsidRPr="000951C5" w:rsidRDefault="000951C5" w:rsidP="000951C5">
      <w:pPr>
        <w:rPr>
          <w:rFonts w:ascii="Arial" w:hAnsi="Arial" w:cs="Arial"/>
          <w:sz w:val="20"/>
          <w:szCs w:val="20"/>
        </w:rPr>
      </w:pPr>
    </w:p>
    <w:p w14:paraId="0163E819" w14:textId="77777777" w:rsidR="000951C5" w:rsidRPr="000951C5" w:rsidRDefault="000951C5" w:rsidP="000951C5">
      <w:pPr>
        <w:rPr>
          <w:rFonts w:ascii="Arial" w:hAnsi="Arial" w:cs="Arial"/>
          <w:sz w:val="20"/>
          <w:szCs w:val="20"/>
        </w:rPr>
      </w:pPr>
      <w:r w:rsidRPr="000951C5">
        <w:rPr>
          <w:rFonts w:ascii="Arial" w:hAnsi="Arial" w:cs="Arial"/>
          <w:sz w:val="20"/>
          <w:szCs w:val="20"/>
        </w:rPr>
        <w:t>An investment opportunity schedule shows the IRRs of (in decreasing order), and the initial investment amounts for, a firm’s potential projects.</w:t>
      </w:r>
    </w:p>
    <w:p w14:paraId="70CBC9D7" w14:textId="77777777" w:rsidR="000951C5" w:rsidRPr="000951C5" w:rsidRDefault="000951C5" w:rsidP="000951C5">
      <w:pPr>
        <w:rPr>
          <w:rFonts w:ascii="Arial" w:hAnsi="Arial" w:cs="Arial"/>
          <w:sz w:val="20"/>
          <w:szCs w:val="20"/>
        </w:rPr>
      </w:pPr>
    </w:p>
    <w:p w14:paraId="550B373D" w14:textId="77777777" w:rsidR="000951C5" w:rsidRPr="000951C5" w:rsidRDefault="000951C5" w:rsidP="000951C5">
      <w:pPr>
        <w:rPr>
          <w:rFonts w:ascii="Arial" w:hAnsi="Arial" w:cs="Arial"/>
          <w:sz w:val="20"/>
          <w:szCs w:val="20"/>
        </w:rPr>
      </w:pPr>
      <w:r w:rsidRPr="000951C5">
        <w:rPr>
          <w:rFonts w:ascii="Arial" w:hAnsi="Arial" w:cs="Arial"/>
          <w:sz w:val="20"/>
          <w:szCs w:val="20"/>
        </w:rPr>
        <w:t>The intersection of a firm’s investment opportunity schedule with its marginal cost of capital curve indicates the optimal amount of capital expenditure, the amount of investment required to undertake all positive NPV projects.</w:t>
      </w:r>
    </w:p>
    <w:p w14:paraId="2A530763" w14:textId="77777777" w:rsidR="000951C5" w:rsidRPr="000951C5" w:rsidRDefault="000951C5" w:rsidP="000951C5">
      <w:pPr>
        <w:rPr>
          <w:rFonts w:ascii="Arial" w:hAnsi="Arial" w:cs="Arial"/>
          <w:sz w:val="20"/>
          <w:szCs w:val="20"/>
        </w:rPr>
      </w:pPr>
    </w:p>
    <w:p w14:paraId="4E4F2DD7" w14:textId="77777777" w:rsidR="000951C5" w:rsidRPr="000951C5" w:rsidRDefault="000951C5" w:rsidP="000951C5">
      <w:pPr>
        <w:rPr>
          <w:rFonts w:ascii="Arial" w:hAnsi="Arial" w:cs="Arial"/>
          <w:sz w:val="20"/>
          <w:szCs w:val="20"/>
        </w:rPr>
      </w:pPr>
      <w:r w:rsidRPr="000951C5">
        <w:rPr>
          <w:rFonts w:ascii="Arial" w:hAnsi="Arial" w:cs="Arial"/>
          <w:sz w:val="20"/>
          <w:szCs w:val="20"/>
        </w:rPr>
        <w:t>LOS 35.e</w:t>
      </w:r>
    </w:p>
    <w:p w14:paraId="4E9E78E1" w14:textId="77777777" w:rsidR="000951C5" w:rsidRPr="000951C5" w:rsidRDefault="000951C5" w:rsidP="000951C5">
      <w:pPr>
        <w:rPr>
          <w:rFonts w:ascii="Arial" w:hAnsi="Arial" w:cs="Arial"/>
          <w:sz w:val="20"/>
          <w:szCs w:val="20"/>
        </w:rPr>
      </w:pPr>
    </w:p>
    <w:p w14:paraId="30903F88" w14:textId="77777777" w:rsidR="000951C5" w:rsidRPr="000951C5" w:rsidRDefault="000951C5" w:rsidP="000951C5">
      <w:pPr>
        <w:rPr>
          <w:rFonts w:ascii="Arial" w:hAnsi="Arial" w:cs="Arial"/>
          <w:sz w:val="20"/>
          <w:szCs w:val="20"/>
        </w:rPr>
      </w:pPr>
      <w:r w:rsidRPr="000951C5">
        <w:rPr>
          <w:rFonts w:ascii="Arial" w:hAnsi="Arial" w:cs="Arial"/>
          <w:sz w:val="20"/>
          <w:szCs w:val="20"/>
        </w:rPr>
        <w:t>The marginal cost of capital (the WACC for additional units of capital) should be used as the discount rate when calculating project NPVs for capital budgeting decisions.</w:t>
      </w:r>
    </w:p>
    <w:p w14:paraId="28E21E8C" w14:textId="77777777" w:rsidR="000951C5" w:rsidRPr="000951C5" w:rsidRDefault="000951C5" w:rsidP="000951C5">
      <w:pPr>
        <w:rPr>
          <w:rFonts w:ascii="Arial" w:hAnsi="Arial" w:cs="Arial"/>
          <w:sz w:val="20"/>
          <w:szCs w:val="20"/>
        </w:rPr>
      </w:pPr>
    </w:p>
    <w:p w14:paraId="05BAA80C" w14:textId="77777777" w:rsidR="000951C5" w:rsidRPr="000951C5" w:rsidRDefault="000951C5" w:rsidP="000951C5">
      <w:pPr>
        <w:rPr>
          <w:rFonts w:ascii="Arial" w:hAnsi="Arial" w:cs="Arial"/>
          <w:sz w:val="20"/>
          <w:szCs w:val="20"/>
        </w:rPr>
      </w:pPr>
      <w:r w:rsidRPr="000951C5">
        <w:rPr>
          <w:rFonts w:ascii="Arial" w:hAnsi="Arial" w:cs="Arial"/>
          <w:sz w:val="20"/>
          <w:szCs w:val="20"/>
        </w:rPr>
        <w:t>Adjustments to the cost of capital are necessary when a project differs in risk from the average risk of a firm’s existing projects. The discount rate should be adjusted upward for higher-risk projects and downward for lower-risk projects.</w:t>
      </w:r>
    </w:p>
    <w:p w14:paraId="64CD76E6" w14:textId="77777777" w:rsidR="000951C5" w:rsidRPr="000951C5" w:rsidRDefault="000951C5" w:rsidP="000951C5">
      <w:pPr>
        <w:rPr>
          <w:rFonts w:ascii="Arial" w:hAnsi="Arial" w:cs="Arial"/>
          <w:sz w:val="20"/>
          <w:szCs w:val="20"/>
        </w:rPr>
      </w:pPr>
    </w:p>
    <w:p w14:paraId="7282655A" w14:textId="39574BA4" w:rsidR="000951C5" w:rsidRDefault="000951C5" w:rsidP="000951C5">
      <w:pPr>
        <w:rPr>
          <w:rFonts w:ascii="Arial" w:hAnsi="Arial" w:cs="Arial" w:hint="eastAsia"/>
          <w:sz w:val="20"/>
          <w:szCs w:val="20"/>
        </w:rPr>
      </w:pPr>
      <w:r w:rsidRPr="000951C5">
        <w:rPr>
          <w:rFonts w:ascii="Arial" w:hAnsi="Arial" w:cs="Arial"/>
          <w:sz w:val="20"/>
          <w:szCs w:val="20"/>
        </w:rPr>
        <w:t>LOS 35.f</w:t>
      </w:r>
    </w:p>
    <w:p w14:paraId="0DAB12FD"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The before-tax cost of fixed-rate debt capital, k </w:t>
      </w:r>
      <w:proofErr w:type="gramStart"/>
      <w:r w:rsidRPr="00885E90">
        <w:rPr>
          <w:rFonts w:ascii="Arial" w:hAnsi="Arial" w:cs="Arial"/>
          <w:sz w:val="20"/>
          <w:szCs w:val="20"/>
        </w:rPr>
        <w:t>d ,</w:t>
      </w:r>
      <w:proofErr w:type="gramEnd"/>
      <w:r w:rsidRPr="00885E90">
        <w:rPr>
          <w:rFonts w:ascii="Arial" w:hAnsi="Arial" w:cs="Arial"/>
          <w:sz w:val="20"/>
          <w:szCs w:val="20"/>
        </w:rPr>
        <w:t xml:space="preserve"> is the rate at which the firm can issue new debt.</w:t>
      </w:r>
    </w:p>
    <w:p w14:paraId="77042882" w14:textId="77777777" w:rsidR="00885E90" w:rsidRPr="00885E90" w:rsidRDefault="00885E90" w:rsidP="00885E90">
      <w:pPr>
        <w:rPr>
          <w:rFonts w:ascii="Arial" w:hAnsi="Arial" w:cs="Arial"/>
          <w:sz w:val="20"/>
          <w:szCs w:val="20"/>
        </w:rPr>
      </w:pPr>
    </w:p>
    <w:p w14:paraId="7592F0B2" w14:textId="77777777" w:rsidR="00885E90" w:rsidRPr="00885E90" w:rsidRDefault="00885E90" w:rsidP="00885E90">
      <w:pPr>
        <w:rPr>
          <w:rFonts w:ascii="Arial" w:hAnsi="Arial" w:cs="Arial"/>
          <w:sz w:val="20"/>
          <w:szCs w:val="20"/>
        </w:rPr>
      </w:pPr>
      <w:r w:rsidRPr="00885E90">
        <w:rPr>
          <w:rFonts w:ascii="Arial" w:hAnsi="Arial" w:cs="Arial"/>
          <w:sz w:val="20"/>
          <w:szCs w:val="20"/>
        </w:rPr>
        <w:t>The yield-to-maturity approach assumes the before-tax cost of debt capital is the YTM on the firm’s existing publicly traded debt.</w:t>
      </w:r>
    </w:p>
    <w:p w14:paraId="2128C50B" w14:textId="77777777" w:rsidR="00885E90" w:rsidRPr="00885E90" w:rsidRDefault="00885E90" w:rsidP="00885E90">
      <w:pPr>
        <w:rPr>
          <w:rFonts w:ascii="Arial" w:hAnsi="Arial" w:cs="Arial"/>
          <w:sz w:val="20"/>
          <w:szCs w:val="20"/>
        </w:rPr>
      </w:pPr>
    </w:p>
    <w:p w14:paraId="341BEB86" w14:textId="77777777" w:rsidR="00885E90" w:rsidRPr="00885E90" w:rsidRDefault="00885E90" w:rsidP="00885E90">
      <w:pPr>
        <w:rPr>
          <w:rFonts w:ascii="Arial" w:hAnsi="Arial" w:cs="Arial"/>
          <w:sz w:val="20"/>
          <w:szCs w:val="20"/>
        </w:rPr>
      </w:pPr>
      <w:r w:rsidRPr="00885E90">
        <w:rPr>
          <w:rFonts w:ascii="Arial" w:hAnsi="Arial" w:cs="Arial"/>
          <w:sz w:val="20"/>
          <w:szCs w:val="20"/>
        </w:rPr>
        <w:t>If a market YTM is not available, the analyst can use the debt rating approach, estimating the before-tax cost of debt capital based on market yields for debt with the same rating and average maturity as the firm’s existing debt.</w:t>
      </w:r>
    </w:p>
    <w:p w14:paraId="2E2733D2" w14:textId="77777777" w:rsidR="00885E90" w:rsidRPr="00885E90" w:rsidRDefault="00885E90" w:rsidP="00885E90">
      <w:pPr>
        <w:rPr>
          <w:rFonts w:ascii="Arial" w:hAnsi="Arial" w:cs="Arial"/>
          <w:sz w:val="20"/>
          <w:szCs w:val="20"/>
        </w:rPr>
      </w:pPr>
    </w:p>
    <w:p w14:paraId="30FBC559" w14:textId="77777777" w:rsidR="00885E90" w:rsidRPr="00885E90" w:rsidRDefault="00885E90" w:rsidP="00885E90">
      <w:pPr>
        <w:rPr>
          <w:rFonts w:ascii="Arial" w:hAnsi="Arial" w:cs="Arial"/>
          <w:sz w:val="20"/>
          <w:szCs w:val="20"/>
        </w:rPr>
      </w:pPr>
      <w:r w:rsidRPr="00885E90">
        <w:rPr>
          <w:rFonts w:ascii="Arial" w:hAnsi="Arial" w:cs="Arial"/>
          <w:sz w:val="20"/>
          <w:szCs w:val="20"/>
        </w:rPr>
        <w:t>LOS 35.g</w:t>
      </w:r>
    </w:p>
    <w:p w14:paraId="45CEBACD" w14:textId="77777777" w:rsidR="00885E90" w:rsidRPr="00885E90" w:rsidRDefault="00885E90" w:rsidP="00885E90">
      <w:pPr>
        <w:rPr>
          <w:rFonts w:ascii="Arial" w:hAnsi="Arial" w:cs="Arial"/>
          <w:sz w:val="20"/>
          <w:szCs w:val="20"/>
        </w:rPr>
      </w:pPr>
    </w:p>
    <w:p w14:paraId="26E131A7"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The cost (and yield) of </w:t>
      </w:r>
      <w:proofErr w:type="spellStart"/>
      <w:r w:rsidRPr="00885E90">
        <w:rPr>
          <w:rFonts w:ascii="Arial" w:hAnsi="Arial" w:cs="Arial"/>
          <w:sz w:val="20"/>
          <w:szCs w:val="20"/>
        </w:rPr>
        <w:t>noncallable</w:t>
      </w:r>
      <w:proofErr w:type="spellEnd"/>
      <w:r w:rsidRPr="00885E90">
        <w:rPr>
          <w:rFonts w:ascii="Arial" w:hAnsi="Arial" w:cs="Arial"/>
          <w:sz w:val="20"/>
          <w:szCs w:val="20"/>
        </w:rPr>
        <w:t>, nonconvertible preferred stock is simply the annual dividend divided by the market price of preferred shares.</w:t>
      </w:r>
    </w:p>
    <w:p w14:paraId="283A8BB7" w14:textId="77777777" w:rsidR="00885E90" w:rsidRPr="00885E90" w:rsidRDefault="00885E90" w:rsidP="00885E90">
      <w:pPr>
        <w:rPr>
          <w:rFonts w:ascii="Arial" w:hAnsi="Arial" w:cs="Arial"/>
          <w:sz w:val="20"/>
          <w:szCs w:val="20"/>
        </w:rPr>
      </w:pPr>
    </w:p>
    <w:p w14:paraId="690EC039" w14:textId="77777777" w:rsidR="00885E90" w:rsidRPr="00885E90" w:rsidRDefault="00885E90" w:rsidP="00885E90">
      <w:pPr>
        <w:rPr>
          <w:rFonts w:ascii="Arial" w:hAnsi="Arial" w:cs="Arial"/>
          <w:sz w:val="20"/>
          <w:szCs w:val="20"/>
        </w:rPr>
      </w:pPr>
      <w:r w:rsidRPr="00885E90">
        <w:rPr>
          <w:rFonts w:ascii="Arial" w:hAnsi="Arial" w:cs="Arial"/>
          <w:sz w:val="20"/>
          <w:szCs w:val="20"/>
        </w:rPr>
        <w:t>LOS 35.h</w:t>
      </w:r>
    </w:p>
    <w:p w14:paraId="75F13541" w14:textId="77777777" w:rsidR="00885E90" w:rsidRPr="00885E90" w:rsidRDefault="00885E90" w:rsidP="00885E90">
      <w:pPr>
        <w:rPr>
          <w:rFonts w:ascii="Arial" w:hAnsi="Arial" w:cs="Arial"/>
          <w:sz w:val="20"/>
          <w:szCs w:val="20"/>
        </w:rPr>
      </w:pPr>
    </w:p>
    <w:p w14:paraId="4194E3B1"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The cost of equity capital, k </w:t>
      </w:r>
      <w:proofErr w:type="spellStart"/>
      <w:proofErr w:type="gramStart"/>
      <w:r w:rsidRPr="00885E90">
        <w:rPr>
          <w:rFonts w:ascii="Arial" w:hAnsi="Arial" w:cs="Arial"/>
          <w:sz w:val="20"/>
          <w:szCs w:val="20"/>
        </w:rPr>
        <w:t>ce</w:t>
      </w:r>
      <w:proofErr w:type="spellEnd"/>
      <w:r w:rsidRPr="00885E90">
        <w:rPr>
          <w:rFonts w:ascii="Arial" w:hAnsi="Arial" w:cs="Arial"/>
          <w:sz w:val="20"/>
          <w:szCs w:val="20"/>
        </w:rPr>
        <w:t xml:space="preserve"> ,</w:t>
      </w:r>
      <w:proofErr w:type="gramEnd"/>
      <w:r w:rsidRPr="00885E90">
        <w:rPr>
          <w:rFonts w:ascii="Arial" w:hAnsi="Arial" w:cs="Arial"/>
          <w:sz w:val="20"/>
          <w:szCs w:val="20"/>
        </w:rPr>
        <w:t xml:space="preserve"> is the required rate of return on the firm’s common stock.</w:t>
      </w:r>
    </w:p>
    <w:p w14:paraId="07EFD87E" w14:textId="77777777" w:rsidR="00885E90" w:rsidRPr="00885E90" w:rsidRDefault="00885E90" w:rsidP="00885E90">
      <w:pPr>
        <w:rPr>
          <w:rFonts w:ascii="Arial" w:hAnsi="Arial" w:cs="Arial"/>
          <w:sz w:val="20"/>
          <w:szCs w:val="20"/>
        </w:rPr>
      </w:pPr>
    </w:p>
    <w:p w14:paraId="17510F6D"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There are three approaches to estimating k </w:t>
      </w:r>
      <w:proofErr w:type="spellStart"/>
      <w:proofErr w:type="gramStart"/>
      <w:r w:rsidRPr="00885E90">
        <w:rPr>
          <w:rFonts w:ascii="Arial" w:hAnsi="Arial" w:cs="Arial"/>
          <w:sz w:val="20"/>
          <w:szCs w:val="20"/>
        </w:rPr>
        <w:t>ce</w:t>
      </w:r>
      <w:proofErr w:type="spellEnd"/>
      <w:r w:rsidRPr="00885E90">
        <w:rPr>
          <w:rFonts w:ascii="Arial" w:hAnsi="Arial" w:cs="Arial"/>
          <w:sz w:val="20"/>
          <w:szCs w:val="20"/>
        </w:rPr>
        <w:t xml:space="preserve"> :</w:t>
      </w:r>
      <w:proofErr w:type="gramEnd"/>
    </w:p>
    <w:p w14:paraId="1BC97E2D" w14:textId="77777777" w:rsidR="00885E90" w:rsidRPr="00885E90" w:rsidRDefault="00885E90" w:rsidP="00885E90">
      <w:pPr>
        <w:rPr>
          <w:rFonts w:ascii="Arial" w:hAnsi="Arial" w:cs="Arial"/>
          <w:sz w:val="20"/>
          <w:szCs w:val="20"/>
        </w:rPr>
      </w:pPr>
    </w:p>
    <w:p w14:paraId="1BFA32F5" w14:textId="77777777" w:rsidR="00885E90" w:rsidRPr="00885E90" w:rsidRDefault="00885E90" w:rsidP="00885E90">
      <w:pPr>
        <w:rPr>
          <w:rFonts w:ascii="Arial" w:hAnsi="Arial" w:cs="Arial"/>
          <w:sz w:val="20"/>
          <w:szCs w:val="20"/>
        </w:rPr>
      </w:pPr>
      <w:r w:rsidRPr="00885E90">
        <w:rPr>
          <w:rFonts w:ascii="Arial" w:hAnsi="Arial" w:cs="Arial"/>
          <w:sz w:val="20"/>
          <w:szCs w:val="20"/>
        </w:rPr>
        <w:t>CAPM approach: k</w:t>
      </w:r>
    </w:p>
    <w:p w14:paraId="688193BA" w14:textId="77777777" w:rsidR="00885E90" w:rsidRPr="00885E90" w:rsidRDefault="00885E90" w:rsidP="00885E90">
      <w:pPr>
        <w:rPr>
          <w:rFonts w:ascii="Arial" w:hAnsi="Arial" w:cs="Arial"/>
          <w:sz w:val="20"/>
          <w:szCs w:val="20"/>
        </w:rPr>
      </w:pPr>
    </w:p>
    <w:p w14:paraId="4E0D45A6" w14:textId="77777777" w:rsidR="00885E90" w:rsidRPr="00885E90" w:rsidRDefault="00885E90" w:rsidP="00885E90">
      <w:pPr>
        <w:rPr>
          <w:rFonts w:ascii="Arial" w:hAnsi="Arial" w:cs="Arial"/>
          <w:sz w:val="20"/>
          <w:szCs w:val="20"/>
        </w:rPr>
      </w:pPr>
      <w:proofErr w:type="spellStart"/>
      <w:r w:rsidRPr="00885E90">
        <w:rPr>
          <w:rFonts w:ascii="Arial" w:hAnsi="Arial" w:cs="Arial"/>
          <w:sz w:val="20"/>
          <w:szCs w:val="20"/>
        </w:rPr>
        <w:t>ce</w:t>
      </w:r>
      <w:proofErr w:type="spellEnd"/>
    </w:p>
    <w:p w14:paraId="6E35CD8A" w14:textId="77777777" w:rsidR="00885E90" w:rsidRPr="00885E90" w:rsidRDefault="00885E90" w:rsidP="00885E90">
      <w:pPr>
        <w:rPr>
          <w:rFonts w:ascii="Arial" w:hAnsi="Arial" w:cs="Arial"/>
          <w:sz w:val="20"/>
          <w:szCs w:val="20"/>
        </w:rPr>
      </w:pPr>
    </w:p>
    <w:p w14:paraId="211B17FA"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 R f + </w:t>
      </w:r>
      <w:proofErr w:type="gramStart"/>
      <w:r w:rsidRPr="00885E90">
        <w:rPr>
          <w:rFonts w:ascii="Arial" w:hAnsi="Arial" w:cs="Arial"/>
          <w:sz w:val="20"/>
          <w:szCs w:val="20"/>
        </w:rPr>
        <w:t>β[</w:t>
      </w:r>
      <w:proofErr w:type="gramEnd"/>
      <w:r w:rsidRPr="00885E90">
        <w:rPr>
          <w:rFonts w:ascii="Arial" w:hAnsi="Arial" w:cs="Arial"/>
          <w:sz w:val="20"/>
          <w:szCs w:val="20"/>
        </w:rPr>
        <w:t>E(R mkt ) − R f ].</w:t>
      </w:r>
    </w:p>
    <w:p w14:paraId="27739A94" w14:textId="77777777" w:rsidR="00885E90" w:rsidRPr="00885E90" w:rsidRDefault="00885E90" w:rsidP="00885E90">
      <w:pPr>
        <w:rPr>
          <w:rFonts w:ascii="Arial" w:hAnsi="Arial" w:cs="Arial"/>
          <w:sz w:val="20"/>
          <w:szCs w:val="20"/>
        </w:rPr>
      </w:pPr>
    </w:p>
    <w:p w14:paraId="18FDE18E" w14:textId="77777777" w:rsidR="00885E90" w:rsidRPr="00885E90" w:rsidRDefault="00885E90" w:rsidP="00885E90">
      <w:pPr>
        <w:rPr>
          <w:rFonts w:ascii="Arial" w:hAnsi="Arial" w:cs="Arial"/>
          <w:sz w:val="20"/>
          <w:szCs w:val="20"/>
        </w:rPr>
      </w:pPr>
      <w:r w:rsidRPr="00885E90">
        <w:rPr>
          <w:rFonts w:ascii="Arial" w:hAnsi="Arial" w:cs="Arial"/>
          <w:sz w:val="20"/>
          <w:szCs w:val="20"/>
        </w:rPr>
        <w:t>Dividend discount model approach: k</w:t>
      </w:r>
    </w:p>
    <w:p w14:paraId="5EC2CA7E" w14:textId="77777777" w:rsidR="00885E90" w:rsidRPr="00885E90" w:rsidRDefault="00885E90" w:rsidP="00885E90">
      <w:pPr>
        <w:rPr>
          <w:rFonts w:ascii="Arial" w:hAnsi="Arial" w:cs="Arial"/>
          <w:sz w:val="20"/>
          <w:szCs w:val="20"/>
        </w:rPr>
      </w:pPr>
    </w:p>
    <w:p w14:paraId="71DF2FAB" w14:textId="77777777" w:rsidR="00885E90" w:rsidRPr="00885E90" w:rsidRDefault="00885E90" w:rsidP="00885E90">
      <w:pPr>
        <w:rPr>
          <w:rFonts w:ascii="Arial" w:hAnsi="Arial" w:cs="Arial"/>
          <w:sz w:val="20"/>
          <w:szCs w:val="20"/>
        </w:rPr>
      </w:pPr>
      <w:proofErr w:type="spellStart"/>
      <w:r w:rsidRPr="00885E90">
        <w:rPr>
          <w:rFonts w:ascii="Arial" w:hAnsi="Arial" w:cs="Arial"/>
          <w:sz w:val="20"/>
          <w:szCs w:val="20"/>
        </w:rPr>
        <w:t>ce</w:t>
      </w:r>
      <w:proofErr w:type="spellEnd"/>
    </w:p>
    <w:p w14:paraId="1A34A28B" w14:textId="77777777" w:rsidR="00885E90" w:rsidRPr="00885E90" w:rsidRDefault="00885E90" w:rsidP="00885E90">
      <w:pPr>
        <w:rPr>
          <w:rFonts w:ascii="Arial" w:hAnsi="Arial" w:cs="Arial"/>
          <w:sz w:val="20"/>
          <w:szCs w:val="20"/>
        </w:rPr>
      </w:pPr>
    </w:p>
    <w:p w14:paraId="704C65DE"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 (D 1 /P </w:t>
      </w:r>
      <w:proofErr w:type="gramStart"/>
      <w:r w:rsidRPr="00885E90">
        <w:rPr>
          <w:rFonts w:ascii="Arial" w:hAnsi="Arial" w:cs="Arial"/>
          <w:sz w:val="20"/>
          <w:szCs w:val="20"/>
        </w:rPr>
        <w:t>0 )</w:t>
      </w:r>
      <w:proofErr w:type="gramEnd"/>
      <w:r w:rsidRPr="00885E90">
        <w:rPr>
          <w:rFonts w:ascii="Arial" w:hAnsi="Arial" w:cs="Arial"/>
          <w:sz w:val="20"/>
          <w:szCs w:val="20"/>
        </w:rPr>
        <w:t xml:space="preserve"> + g.</w:t>
      </w:r>
    </w:p>
    <w:p w14:paraId="3DECD868" w14:textId="77777777" w:rsidR="00885E90" w:rsidRPr="00885E90" w:rsidRDefault="00885E90" w:rsidP="00885E90">
      <w:pPr>
        <w:rPr>
          <w:rFonts w:ascii="Arial" w:hAnsi="Arial" w:cs="Arial"/>
          <w:sz w:val="20"/>
          <w:szCs w:val="20"/>
        </w:rPr>
      </w:pPr>
    </w:p>
    <w:p w14:paraId="4236D0D8" w14:textId="77777777" w:rsidR="00885E90" w:rsidRPr="00885E90" w:rsidRDefault="00885E90" w:rsidP="00885E90">
      <w:pPr>
        <w:rPr>
          <w:rFonts w:ascii="Arial" w:hAnsi="Arial" w:cs="Arial"/>
          <w:sz w:val="20"/>
          <w:szCs w:val="20"/>
        </w:rPr>
      </w:pPr>
      <w:r w:rsidRPr="00885E90">
        <w:rPr>
          <w:rFonts w:ascii="Arial" w:hAnsi="Arial" w:cs="Arial"/>
          <w:sz w:val="20"/>
          <w:szCs w:val="20"/>
        </w:rPr>
        <w:t>Bond yield plus risk premium approach: add a risk premium of 3% to 5% to the market yield on the firm’s long-term debt.</w:t>
      </w:r>
    </w:p>
    <w:p w14:paraId="4BF6B7C0" w14:textId="77777777" w:rsidR="00885E90" w:rsidRPr="00885E90" w:rsidRDefault="00885E90" w:rsidP="00885E90">
      <w:pPr>
        <w:rPr>
          <w:rFonts w:ascii="Arial" w:hAnsi="Arial" w:cs="Arial"/>
          <w:sz w:val="20"/>
          <w:szCs w:val="20"/>
        </w:rPr>
      </w:pPr>
    </w:p>
    <w:p w14:paraId="52F40CF4" w14:textId="77777777" w:rsidR="00885E90" w:rsidRPr="00885E90" w:rsidRDefault="00885E90" w:rsidP="00885E90">
      <w:pPr>
        <w:rPr>
          <w:rFonts w:ascii="Arial" w:hAnsi="Arial" w:cs="Arial"/>
          <w:sz w:val="20"/>
          <w:szCs w:val="20"/>
        </w:rPr>
      </w:pPr>
      <w:r w:rsidRPr="00885E90">
        <w:rPr>
          <w:rFonts w:ascii="Arial" w:hAnsi="Arial" w:cs="Arial"/>
          <w:sz w:val="20"/>
          <w:szCs w:val="20"/>
        </w:rPr>
        <w:t>LOS 35.i</w:t>
      </w:r>
    </w:p>
    <w:p w14:paraId="77A1BC10" w14:textId="77777777" w:rsidR="00885E90" w:rsidRPr="00885E90" w:rsidRDefault="00885E90" w:rsidP="00885E90">
      <w:pPr>
        <w:rPr>
          <w:rFonts w:ascii="Arial" w:hAnsi="Arial" w:cs="Arial"/>
          <w:sz w:val="20"/>
          <w:szCs w:val="20"/>
        </w:rPr>
      </w:pPr>
    </w:p>
    <w:p w14:paraId="12B8A056" w14:textId="77777777" w:rsidR="00885E90" w:rsidRPr="00885E90" w:rsidRDefault="00885E90" w:rsidP="00885E90">
      <w:pPr>
        <w:rPr>
          <w:rFonts w:ascii="Arial" w:hAnsi="Arial" w:cs="Arial"/>
          <w:sz w:val="20"/>
          <w:szCs w:val="20"/>
        </w:rPr>
      </w:pPr>
      <w:r w:rsidRPr="00885E90">
        <w:rPr>
          <w:rFonts w:ascii="Arial" w:hAnsi="Arial" w:cs="Arial"/>
          <w:sz w:val="20"/>
          <w:szCs w:val="20"/>
        </w:rPr>
        <w:t>When a project’s risk differs from that of the firm’s average project, we can use the beta of a company or group of companies that are exclusively in the same business as the project to calculate the project’s required return. This pure-play method involves the following steps:</w:t>
      </w:r>
    </w:p>
    <w:p w14:paraId="4FEBB3B8" w14:textId="77777777" w:rsidR="00885E90" w:rsidRPr="00885E90" w:rsidRDefault="00885E90" w:rsidP="00885E90">
      <w:pPr>
        <w:rPr>
          <w:rFonts w:ascii="Arial" w:hAnsi="Arial" w:cs="Arial"/>
          <w:sz w:val="20"/>
          <w:szCs w:val="20"/>
        </w:rPr>
      </w:pPr>
    </w:p>
    <w:p w14:paraId="205A87B1" w14:textId="77777777" w:rsidR="00885E90" w:rsidRPr="00885E90" w:rsidRDefault="00885E90" w:rsidP="00885E90">
      <w:pPr>
        <w:rPr>
          <w:rFonts w:ascii="Arial" w:hAnsi="Arial" w:cs="Arial"/>
          <w:sz w:val="20"/>
          <w:szCs w:val="20"/>
        </w:rPr>
      </w:pPr>
      <w:r w:rsidRPr="00885E90">
        <w:rPr>
          <w:rFonts w:ascii="Arial" w:hAnsi="Arial" w:cs="Arial"/>
          <w:sz w:val="20"/>
          <w:szCs w:val="20"/>
        </w:rPr>
        <w:t>1. Estimate the beta for a comparable company or companies.</w:t>
      </w:r>
    </w:p>
    <w:p w14:paraId="4C144FB7" w14:textId="77777777" w:rsidR="00885E90" w:rsidRPr="00885E90" w:rsidRDefault="00885E90" w:rsidP="00885E90">
      <w:pPr>
        <w:rPr>
          <w:rFonts w:ascii="Arial" w:hAnsi="Arial" w:cs="Arial"/>
          <w:sz w:val="20"/>
          <w:szCs w:val="20"/>
        </w:rPr>
      </w:pPr>
    </w:p>
    <w:p w14:paraId="42430515" w14:textId="77777777" w:rsidR="00885E90" w:rsidRPr="00885E90" w:rsidRDefault="00885E90" w:rsidP="00885E90">
      <w:pPr>
        <w:rPr>
          <w:rFonts w:ascii="Arial" w:hAnsi="Arial" w:cs="Arial"/>
          <w:sz w:val="20"/>
          <w:szCs w:val="20"/>
        </w:rPr>
      </w:pPr>
      <w:r w:rsidRPr="00885E90">
        <w:rPr>
          <w:rFonts w:ascii="Arial" w:hAnsi="Arial" w:cs="Arial"/>
          <w:sz w:val="20"/>
          <w:szCs w:val="20"/>
        </w:rPr>
        <w:t xml:space="preserve">2. </w:t>
      </w:r>
      <w:proofErr w:type="spellStart"/>
      <w:r w:rsidRPr="00885E90">
        <w:rPr>
          <w:rFonts w:ascii="Arial" w:hAnsi="Arial" w:cs="Arial"/>
          <w:sz w:val="20"/>
          <w:szCs w:val="20"/>
        </w:rPr>
        <w:t>Unlever</w:t>
      </w:r>
      <w:proofErr w:type="spellEnd"/>
      <w:r w:rsidRPr="00885E90">
        <w:rPr>
          <w:rFonts w:ascii="Arial" w:hAnsi="Arial" w:cs="Arial"/>
          <w:sz w:val="20"/>
          <w:szCs w:val="20"/>
        </w:rPr>
        <w:t xml:space="preserve"> the beta to get the asset beta using the marginal tax rate and debt-to- equity ratio for the comparable company:</w:t>
      </w:r>
    </w:p>
    <w:p w14:paraId="2026DC29" w14:textId="77777777" w:rsidR="00885E90" w:rsidRPr="00885E90" w:rsidRDefault="00885E90" w:rsidP="00885E90">
      <w:pPr>
        <w:rPr>
          <w:rFonts w:ascii="Arial" w:hAnsi="Arial" w:cs="Arial"/>
          <w:sz w:val="20"/>
          <w:szCs w:val="20"/>
        </w:rPr>
      </w:pPr>
    </w:p>
    <w:p w14:paraId="0DD8C918" w14:textId="77777777" w:rsidR="00885E90" w:rsidRPr="00885E90" w:rsidRDefault="00885E90" w:rsidP="00885E90">
      <w:pPr>
        <w:rPr>
          <w:rFonts w:ascii="Arial" w:hAnsi="Arial" w:cs="Arial"/>
          <w:sz w:val="20"/>
          <w:szCs w:val="20"/>
        </w:rPr>
      </w:pPr>
      <w:r w:rsidRPr="00885E90">
        <w:rPr>
          <w:rFonts w:ascii="Arial" w:hAnsi="Arial" w:cs="Arial"/>
          <w:sz w:val="20"/>
          <w:szCs w:val="20"/>
        </w:rPr>
        <w:t>3. Re-lever the beta using the marginal tax rate and debt-to-equity ratio for the firm considering the project:</w:t>
      </w:r>
    </w:p>
    <w:p w14:paraId="50A75A09" w14:textId="77777777" w:rsidR="00885E90" w:rsidRPr="00885E90" w:rsidRDefault="00885E90" w:rsidP="00885E90">
      <w:pPr>
        <w:rPr>
          <w:rFonts w:ascii="Arial" w:hAnsi="Arial" w:cs="Arial"/>
          <w:sz w:val="20"/>
          <w:szCs w:val="20"/>
        </w:rPr>
      </w:pPr>
    </w:p>
    <w:p w14:paraId="3F35ED93" w14:textId="77777777" w:rsidR="00885E90" w:rsidRPr="00885E90" w:rsidRDefault="00885E90" w:rsidP="00885E90">
      <w:pPr>
        <w:rPr>
          <w:rFonts w:ascii="Arial" w:hAnsi="Arial" w:cs="Arial"/>
          <w:sz w:val="20"/>
          <w:szCs w:val="20"/>
        </w:rPr>
      </w:pPr>
      <w:r w:rsidRPr="00885E90">
        <w:rPr>
          <w:rFonts w:ascii="Arial" w:hAnsi="Arial" w:cs="Arial"/>
          <w:sz w:val="20"/>
          <w:szCs w:val="20"/>
        </w:rPr>
        <w:t>4. Use the CAPM to estimate the required return on equity to use when evaluating the project.</w:t>
      </w:r>
    </w:p>
    <w:p w14:paraId="12E8063C" w14:textId="77777777" w:rsidR="00885E90" w:rsidRPr="00885E90" w:rsidRDefault="00885E90" w:rsidP="00885E90">
      <w:pPr>
        <w:rPr>
          <w:rFonts w:ascii="Arial" w:hAnsi="Arial" w:cs="Arial"/>
          <w:sz w:val="20"/>
          <w:szCs w:val="20"/>
        </w:rPr>
      </w:pPr>
    </w:p>
    <w:p w14:paraId="6A43D980" w14:textId="77777777" w:rsidR="00885E90" w:rsidRPr="00885E90" w:rsidRDefault="00885E90" w:rsidP="00885E90">
      <w:pPr>
        <w:rPr>
          <w:rFonts w:ascii="Arial" w:hAnsi="Arial" w:cs="Arial"/>
          <w:sz w:val="20"/>
          <w:szCs w:val="20"/>
        </w:rPr>
      </w:pPr>
      <w:r w:rsidRPr="00885E90">
        <w:rPr>
          <w:rFonts w:ascii="Arial" w:hAnsi="Arial" w:cs="Arial"/>
          <w:sz w:val="20"/>
          <w:szCs w:val="20"/>
        </w:rPr>
        <w:t>5. Calculate the WACC for the firm using the project’s required return on equity.</w:t>
      </w:r>
    </w:p>
    <w:p w14:paraId="47FBFC0F" w14:textId="77777777" w:rsidR="00885E90" w:rsidRPr="00885E90" w:rsidRDefault="00885E90" w:rsidP="00885E90">
      <w:pPr>
        <w:rPr>
          <w:rFonts w:ascii="Arial" w:hAnsi="Arial" w:cs="Arial"/>
          <w:sz w:val="20"/>
          <w:szCs w:val="20"/>
        </w:rPr>
      </w:pPr>
    </w:p>
    <w:p w14:paraId="2901AF41" w14:textId="77777777" w:rsidR="00885E90" w:rsidRPr="00885E90" w:rsidRDefault="00885E90" w:rsidP="00885E90">
      <w:pPr>
        <w:rPr>
          <w:rFonts w:ascii="Arial" w:hAnsi="Arial" w:cs="Arial"/>
          <w:sz w:val="20"/>
          <w:szCs w:val="20"/>
        </w:rPr>
      </w:pPr>
      <w:r w:rsidRPr="00885E90">
        <w:rPr>
          <w:rFonts w:ascii="Arial" w:hAnsi="Arial" w:cs="Arial"/>
          <w:sz w:val="20"/>
          <w:szCs w:val="20"/>
        </w:rPr>
        <w:t>LOS 35.j</w:t>
      </w:r>
    </w:p>
    <w:p w14:paraId="40AD285B" w14:textId="77777777" w:rsidR="00885E90" w:rsidRPr="00885E90" w:rsidRDefault="00885E90" w:rsidP="00885E90">
      <w:pPr>
        <w:rPr>
          <w:rFonts w:ascii="Arial" w:hAnsi="Arial" w:cs="Arial"/>
          <w:sz w:val="20"/>
          <w:szCs w:val="20"/>
        </w:rPr>
      </w:pPr>
    </w:p>
    <w:p w14:paraId="7422691B" w14:textId="4DF1F96F" w:rsidR="00885E90" w:rsidRDefault="00885E90" w:rsidP="00885E90">
      <w:pPr>
        <w:rPr>
          <w:rFonts w:ascii="Arial" w:hAnsi="Arial" w:cs="Arial" w:hint="eastAsia"/>
          <w:sz w:val="20"/>
          <w:szCs w:val="20"/>
        </w:rPr>
      </w:pPr>
      <w:r w:rsidRPr="00885E90">
        <w:rPr>
          <w:rFonts w:ascii="Arial" w:hAnsi="Arial" w:cs="Arial"/>
          <w:sz w:val="20"/>
          <w:szCs w:val="20"/>
        </w:rPr>
        <w:t>A country risk premium should be added to the market risk premium in the capital asset pricing model to reflect the added risk associated with investing in a developing market.</w:t>
      </w:r>
    </w:p>
    <w:p w14:paraId="4C822117" w14:textId="77777777" w:rsidR="00885E90" w:rsidRDefault="00885E90" w:rsidP="00885E90">
      <w:pPr>
        <w:rPr>
          <w:rFonts w:ascii="Arial" w:hAnsi="Arial" w:cs="Arial" w:hint="eastAsia"/>
          <w:sz w:val="20"/>
          <w:szCs w:val="20"/>
        </w:rPr>
      </w:pPr>
    </w:p>
    <w:p w14:paraId="2FBD9A0B" w14:textId="77777777" w:rsidR="00885E90" w:rsidRPr="00885E90" w:rsidRDefault="00885E90" w:rsidP="00885E90">
      <w:pPr>
        <w:rPr>
          <w:rFonts w:ascii="Arial" w:hAnsi="Arial" w:cs="Arial"/>
          <w:sz w:val="20"/>
          <w:szCs w:val="20"/>
        </w:rPr>
      </w:pPr>
      <w:r w:rsidRPr="00885E90">
        <w:rPr>
          <w:rFonts w:ascii="Arial" w:hAnsi="Arial" w:cs="Arial"/>
          <w:sz w:val="20"/>
          <w:szCs w:val="20"/>
        </w:rPr>
        <w:t>LOS 35.k</w:t>
      </w:r>
    </w:p>
    <w:p w14:paraId="17CB6134" w14:textId="77777777" w:rsidR="00885E90" w:rsidRPr="00885E90" w:rsidRDefault="00885E90" w:rsidP="00885E90">
      <w:pPr>
        <w:rPr>
          <w:rFonts w:ascii="Arial" w:hAnsi="Arial" w:cs="Arial"/>
          <w:sz w:val="20"/>
          <w:szCs w:val="20"/>
        </w:rPr>
      </w:pPr>
    </w:p>
    <w:p w14:paraId="705CCD1F" w14:textId="77777777" w:rsidR="00885E90" w:rsidRPr="00885E90" w:rsidRDefault="00885E90" w:rsidP="00885E90">
      <w:pPr>
        <w:rPr>
          <w:rFonts w:ascii="Arial" w:hAnsi="Arial" w:cs="Arial"/>
          <w:sz w:val="20"/>
          <w:szCs w:val="20"/>
        </w:rPr>
      </w:pPr>
      <w:r w:rsidRPr="00885E90">
        <w:rPr>
          <w:rFonts w:ascii="Arial" w:hAnsi="Arial" w:cs="Arial"/>
          <w:sz w:val="20"/>
          <w:szCs w:val="20"/>
        </w:rPr>
        <w:t>The marginal cost of capital schedule shows the WACC for successively greater amounts of new capital investment for a period, such as the coming year.</w:t>
      </w:r>
    </w:p>
    <w:p w14:paraId="3336182C" w14:textId="77777777" w:rsidR="00885E90" w:rsidRPr="00885E90" w:rsidRDefault="00885E90" w:rsidP="00885E90">
      <w:pPr>
        <w:rPr>
          <w:rFonts w:ascii="Arial" w:hAnsi="Arial" w:cs="Arial"/>
          <w:sz w:val="20"/>
          <w:szCs w:val="20"/>
        </w:rPr>
      </w:pPr>
    </w:p>
    <w:p w14:paraId="3D4A17D7" w14:textId="77777777" w:rsidR="00885E90" w:rsidRPr="00885E90" w:rsidRDefault="00885E90" w:rsidP="00885E90">
      <w:pPr>
        <w:rPr>
          <w:rFonts w:ascii="Arial" w:hAnsi="Arial" w:cs="Arial"/>
          <w:sz w:val="20"/>
          <w:szCs w:val="20"/>
        </w:rPr>
      </w:pPr>
      <w:r w:rsidRPr="00885E90">
        <w:rPr>
          <w:rFonts w:ascii="Arial" w:hAnsi="Arial" w:cs="Arial"/>
          <w:sz w:val="20"/>
          <w:szCs w:val="20"/>
        </w:rPr>
        <w:t>The MCC schedule is typically upward-sloping because raising greater amounts of capital increases the cost of equity and debt financing. Break points (increases) in the marginal cost of capital schedule occur at amounts of total capital raised equal to the amount of each source of capital at which the component cost of capital increases, divided by the target weight for that source of capital.</w:t>
      </w:r>
    </w:p>
    <w:p w14:paraId="5E81745C" w14:textId="77777777" w:rsidR="00885E90" w:rsidRPr="00885E90" w:rsidRDefault="00885E90" w:rsidP="00885E90">
      <w:pPr>
        <w:rPr>
          <w:rFonts w:ascii="Arial" w:hAnsi="Arial" w:cs="Arial"/>
          <w:sz w:val="20"/>
          <w:szCs w:val="20"/>
        </w:rPr>
      </w:pPr>
    </w:p>
    <w:p w14:paraId="2759E4C9" w14:textId="77777777" w:rsidR="00885E90" w:rsidRPr="00885E90" w:rsidRDefault="00885E90" w:rsidP="00885E90">
      <w:pPr>
        <w:rPr>
          <w:rFonts w:ascii="Arial" w:hAnsi="Arial" w:cs="Arial"/>
          <w:sz w:val="20"/>
          <w:szCs w:val="20"/>
        </w:rPr>
      </w:pPr>
      <w:r w:rsidRPr="00885E90">
        <w:rPr>
          <w:rFonts w:ascii="Arial" w:hAnsi="Arial" w:cs="Arial"/>
          <w:sz w:val="20"/>
          <w:szCs w:val="20"/>
        </w:rPr>
        <w:t>LOS 35.l</w:t>
      </w:r>
    </w:p>
    <w:p w14:paraId="3EAAB40F" w14:textId="77777777" w:rsidR="00885E90" w:rsidRPr="00885E90" w:rsidRDefault="00885E90" w:rsidP="00885E90">
      <w:pPr>
        <w:rPr>
          <w:rFonts w:ascii="Arial" w:hAnsi="Arial" w:cs="Arial"/>
          <w:sz w:val="20"/>
          <w:szCs w:val="20"/>
        </w:rPr>
      </w:pPr>
    </w:p>
    <w:p w14:paraId="373C491F" w14:textId="35CA7067" w:rsidR="00885E90" w:rsidRDefault="00885E90" w:rsidP="00885E90">
      <w:pPr>
        <w:rPr>
          <w:rFonts w:ascii="Arial" w:hAnsi="Arial" w:cs="Arial" w:hint="eastAsia"/>
          <w:sz w:val="20"/>
          <w:szCs w:val="20"/>
        </w:rPr>
      </w:pPr>
      <w:r w:rsidRPr="00885E90">
        <w:rPr>
          <w:rFonts w:ascii="Arial" w:hAnsi="Arial" w:cs="Arial"/>
          <w:sz w:val="20"/>
          <w:szCs w:val="20"/>
        </w:rPr>
        <w:t>The correct method to account for flotation costs of raising new equity capital is to increase a project’s initial cash outflow by the flotation cost attributable to the project when calculating the project’s NPV.</w:t>
      </w:r>
    </w:p>
    <w:p w14:paraId="4FE649E8" w14:textId="77777777" w:rsidR="00885E90" w:rsidRDefault="00885E90" w:rsidP="00885E90">
      <w:pPr>
        <w:rPr>
          <w:rFonts w:ascii="Arial" w:hAnsi="Arial" w:cs="Arial" w:hint="eastAsia"/>
          <w:sz w:val="20"/>
          <w:szCs w:val="20"/>
        </w:rPr>
      </w:pPr>
    </w:p>
    <w:p w14:paraId="50AE1BB4" w14:textId="68621009" w:rsidR="00885E90" w:rsidRDefault="00885E90" w:rsidP="00885E90">
      <w:pPr>
        <w:rPr>
          <w:rFonts w:ascii="Arial" w:hAnsi="Arial" w:cs="Arial" w:hint="eastAsia"/>
          <w:sz w:val="20"/>
          <w:szCs w:val="20"/>
        </w:rPr>
      </w:pPr>
      <w:r>
        <w:rPr>
          <w:rFonts w:ascii="Arial" w:hAnsi="Arial" w:cs="Arial" w:hint="eastAsia"/>
          <w:sz w:val="20"/>
          <w:szCs w:val="20"/>
        </w:rPr>
        <w:t>Reading 36 Measures of Leverage</w:t>
      </w:r>
    </w:p>
    <w:p w14:paraId="3089DE15" w14:textId="77777777" w:rsidR="008D1DA3" w:rsidRPr="008D1DA3" w:rsidRDefault="008D1DA3" w:rsidP="008D1DA3">
      <w:pPr>
        <w:rPr>
          <w:rFonts w:ascii="Arial" w:hAnsi="Arial" w:cs="Arial"/>
          <w:sz w:val="20"/>
          <w:szCs w:val="20"/>
        </w:rPr>
      </w:pPr>
      <w:r w:rsidRPr="008D1DA3">
        <w:rPr>
          <w:rFonts w:ascii="Arial" w:hAnsi="Arial" w:cs="Arial"/>
          <w:sz w:val="20"/>
          <w:szCs w:val="20"/>
        </w:rPr>
        <w:t>LOS 36.a</w:t>
      </w:r>
    </w:p>
    <w:p w14:paraId="3419A5EB" w14:textId="77777777" w:rsidR="008D1DA3" w:rsidRPr="008D1DA3" w:rsidRDefault="008D1DA3" w:rsidP="008D1DA3">
      <w:pPr>
        <w:rPr>
          <w:rFonts w:ascii="Arial" w:hAnsi="Arial" w:cs="Arial"/>
          <w:sz w:val="20"/>
          <w:szCs w:val="20"/>
        </w:rPr>
      </w:pPr>
    </w:p>
    <w:p w14:paraId="56FEFD7D" w14:textId="77777777" w:rsidR="008D1DA3" w:rsidRPr="008D1DA3" w:rsidRDefault="008D1DA3" w:rsidP="008D1DA3">
      <w:pPr>
        <w:rPr>
          <w:rFonts w:ascii="Arial" w:hAnsi="Arial" w:cs="Arial"/>
          <w:sz w:val="20"/>
          <w:szCs w:val="20"/>
        </w:rPr>
      </w:pPr>
      <w:r w:rsidRPr="008D1DA3">
        <w:rPr>
          <w:rFonts w:ascii="Arial" w:hAnsi="Arial" w:cs="Arial"/>
          <w:sz w:val="20"/>
          <w:szCs w:val="20"/>
        </w:rPr>
        <w:t>Leverage increases the risk and potential return of a firm’s earnings and cash flows.</w:t>
      </w:r>
    </w:p>
    <w:p w14:paraId="0F4F8B71" w14:textId="77777777" w:rsidR="008D1DA3" w:rsidRPr="008D1DA3" w:rsidRDefault="008D1DA3" w:rsidP="008D1DA3">
      <w:pPr>
        <w:rPr>
          <w:rFonts w:ascii="Arial" w:hAnsi="Arial" w:cs="Arial"/>
          <w:sz w:val="20"/>
          <w:szCs w:val="20"/>
        </w:rPr>
      </w:pPr>
    </w:p>
    <w:p w14:paraId="79A51828" w14:textId="77777777" w:rsidR="008D1DA3" w:rsidRPr="008D1DA3" w:rsidRDefault="008D1DA3" w:rsidP="008D1DA3">
      <w:pPr>
        <w:rPr>
          <w:rFonts w:ascii="Arial" w:hAnsi="Arial" w:cs="Arial"/>
          <w:sz w:val="20"/>
          <w:szCs w:val="20"/>
        </w:rPr>
      </w:pPr>
      <w:r w:rsidRPr="008D1DA3">
        <w:rPr>
          <w:rFonts w:ascii="Arial" w:hAnsi="Arial" w:cs="Arial"/>
          <w:sz w:val="20"/>
          <w:szCs w:val="20"/>
        </w:rPr>
        <w:t>Operating leverage increases with fixed operating costs.</w:t>
      </w:r>
    </w:p>
    <w:p w14:paraId="4D9CB9E1" w14:textId="77777777" w:rsidR="008D1DA3" w:rsidRPr="008D1DA3" w:rsidRDefault="008D1DA3" w:rsidP="008D1DA3">
      <w:pPr>
        <w:rPr>
          <w:rFonts w:ascii="Arial" w:hAnsi="Arial" w:cs="Arial"/>
          <w:sz w:val="20"/>
          <w:szCs w:val="20"/>
        </w:rPr>
      </w:pPr>
    </w:p>
    <w:p w14:paraId="1093D69D" w14:textId="77777777" w:rsidR="008D1DA3" w:rsidRPr="008D1DA3" w:rsidRDefault="008D1DA3" w:rsidP="008D1DA3">
      <w:pPr>
        <w:rPr>
          <w:rFonts w:ascii="Arial" w:hAnsi="Arial" w:cs="Arial"/>
          <w:sz w:val="20"/>
          <w:szCs w:val="20"/>
        </w:rPr>
      </w:pPr>
      <w:r w:rsidRPr="008D1DA3">
        <w:rPr>
          <w:rFonts w:ascii="Arial" w:hAnsi="Arial" w:cs="Arial"/>
          <w:sz w:val="20"/>
          <w:szCs w:val="20"/>
        </w:rPr>
        <w:t>Financial leverage increases with fixed financing costs.</w:t>
      </w:r>
    </w:p>
    <w:p w14:paraId="129D11C4" w14:textId="77777777" w:rsidR="008D1DA3" w:rsidRPr="008D1DA3" w:rsidRDefault="008D1DA3" w:rsidP="008D1DA3">
      <w:pPr>
        <w:rPr>
          <w:rFonts w:ascii="Arial" w:hAnsi="Arial" w:cs="Arial"/>
          <w:sz w:val="20"/>
          <w:szCs w:val="20"/>
        </w:rPr>
      </w:pPr>
    </w:p>
    <w:p w14:paraId="2EBF3FAE" w14:textId="77777777" w:rsidR="008D1DA3" w:rsidRPr="008D1DA3" w:rsidRDefault="008D1DA3" w:rsidP="008D1DA3">
      <w:pPr>
        <w:rPr>
          <w:rFonts w:ascii="Arial" w:hAnsi="Arial" w:cs="Arial"/>
          <w:sz w:val="20"/>
          <w:szCs w:val="20"/>
        </w:rPr>
      </w:pPr>
      <w:r w:rsidRPr="008D1DA3">
        <w:rPr>
          <w:rFonts w:ascii="Arial" w:hAnsi="Arial" w:cs="Arial"/>
          <w:sz w:val="20"/>
          <w:szCs w:val="20"/>
        </w:rPr>
        <w:t>Sales risk is uncertainty about the firm’s sales.</w:t>
      </w:r>
    </w:p>
    <w:p w14:paraId="79FAC7E1" w14:textId="77777777" w:rsidR="008D1DA3" w:rsidRPr="008D1DA3" w:rsidRDefault="008D1DA3" w:rsidP="008D1DA3">
      <w:pPr>
        <w:rPr>
          <w:rFonts w:ascii="Arial" w:hAnsi="Arial" w:cs="Arial"/>
          <w:sz w:val="20"/>
          <w:szCs w:val="20"/>
        </w:rPr>
      </w:pPr>
    </w:p>
    <w:p w14:paraId="24D3027E" w14:textId="77777777" w:rsidR="008D1DA3" w:rsidRPr="008D1DA3" w:rsidRDefault="008D1DA3" w:rsidP="008D1DA3">
      <w:pPr>
        <w:rPr>
          <w:rFonts w:ascii="Arial" w:hAnsi="Arial" w:cs="Arial"/>
          <w:sz w:val="20"/>
          <w:szCs w:val="20"/>
        </w:rPr>
      </w:pPr>
      <w:r w:rsidRPr="008D1DA3">
        <w:rPr>
          <w:rFonts w:ascii="Arial" w:hAnsi="Arial" w:cs="Arial"/>
          <w:sz w:val="20"/>
          <w:szCs w:val="20"/>
        </w:rPr>
        <w:t>Business risk refers to the uncertainty about operating earnings (EBIT) and results from variability in sales and expenses. Business risk is magnified by operating leverage.</w:t>
      </w:r>
    </w:p>
    <w:p w14:paraId="4E136A13" w14:textId="77777777" w:rsidR="008D1DA3" w:rsidRPr="008D1DA3" w:rsidRDefault="008D1DA3" w:rsidP="008D1DA3">
      <w:pPr>
        <w:rPr>
          <w:rFonts w:ascii="Arial" w:hAnsi="Arial" w:cs="Arial"/>
          <w:sz w:val="20"/>
          <w:szCs w:val="20"/>
        </w:rPr>
      </w:pPr>
    </w:p>
    <w:p w14:paraId="59D92D9F" w14:textId="77777777" w:rsidR="008D1DA3" w:rsidRPr="008D1DA3" w:rsidRDefault="008D1DA3" w:rsidP="008D1DA3">
      <w:pPr>
        <w:rPr>
          <w:rFonts w:ascii="Arial" w:hAnsi="Arial" w:cs="Arial"/>
          <w:sz w:val="20"/>
          <w:szCs w:val="20"/>
        </w:rPr>
      </w:pPr>
      <w:r w:rsidRPr="008D1DA3">
        <w:rPr>
          <w:rFonts w:ascii="Arial" w:hAnsi="Arial" w:cs="Arial"/>
          <w:sz w:val="20"/>
          <w:szCs w:val="20"/>
        </w:rPr>
        <w:t>Financial risk refers to the additional variability of EPS compared to EBIT. Financial risk increases with greater use of fixed cost financing (debt) in a company’s capital structure.</w:t>
      </w:r>
    </w:p>
    <w:p w14:paraId="7BB81AFA" w14:textId="77777777" w:rsidR="008D1DA3" w:rsidRPr="008D1DA3" w:rsidRDefault="008D1DA3" w:rsidP="008D1DA3">
      <w:pPr>
        <w:rPr>
          <w:rFonts w:ascii="Arial" w:hAnsi="Arial" w:cs="Arial"/>
          <w:sz w:val="20"/>
          <w:szCs w:val="20"/>
        </w:rPr>
      </w:pPr>
    </w:p>
    <w:p w14:paraId="60EFF070" w14:textId="77777777" w:rsidR="008D1DA3" w:rsidRPr="008D1DA3" w:rsidRDefault="008D1DA3" w:rsidP="008D1DA3">
      <w:pPr>
        <w:rPr>
          <w:rFonts w:ascii="Arial" w:hAnsi="Arial" w:cs="Arial"/>
          <w:sz w:val="20"/>
          <w:szCs w:val="20"/>
        </w:rPr>
      </w:pPr>
      <w:r w:rsidRPr="008D1DA3">
        <w:rPr>
          <w:rFonts w:ascii="Arial" w:hAnsi="Arial" w:cs="Arial"/>
          <w:sz w:val="20"/>
          <w:szCs w:val="20"/>
        </w:rPr>
        <w:t>LOS 36.b</w:t>
      </w:r>
    </w:p>
    <w:p w14:paraId="6FE7F032" w14:textId="77777777" w:rsidR="008D1DA3" w:rsidRPr="008D1DA3" w:rsidRDefault="008D1DA3" w:rsidP="008D1DA3">
      <w:pPr>
        <w:rPr>
          <w:rFonts w:ascii="Arial" w:hAnsi="Arial" w:cs="Arial"/>
          <w:sz w:val="20"/>
          <w:szCs w:val="20"/>
        </w:rPr>
      </w:pPr>
    </w:p>
    <w:p w14:paraId="2FF6A381" w14:textId="77777777" w:rsidR="008D1DA3" w:rsidRPr="008D1DA3" w:rsidRDefault="008D1DA3" w:rsidP="008D1DA3">
      <w:pPr>
        <w:rPr>
          <w:rFonts w:ascii="Arial" w:hAnsi="Arial" w:cs="Arial"/>
          <w:sz w:val="20"/>
          <w:szCs w:val="20"/>
        </w:rPr>
      </w:pPr>
      <w:r w:rsidRPr="008D1DA3">
        <w:rPr>
          <w:rFonts w:ascii="Arial" w:hAnsi="Arial" w:cs="Arial"/>
          <w:sz w:val="20"/>
          <w:szCs w:val="20"/>
        </w:rPr>
        <w:t>The degree of operating leverage (DOL) is calculated as</w:t>
      </w:r>
    </w:p>
    <w:p w14:paraId="23EB50B9" w14:textId="77777777" w:rsidR="008D1DA3" w:rsidRPr="008D1DA3" w:rsidRDefault="008D1DA3" w:rsidP="008D1DA3">
      <w:pPr>
        <w:rPr>
          <w:rFonts w:ascii="Arial" w:hAnsi="Arial" w:cs="Arial"/>
          <w:sz w:val="20"/>
          <w:szCs w:val="20"/>
        </w:rPr>
      </w:pPr>
    </w:p>
    <w:p w14:paraId="1584A047" w14:textId="77777777" w:rsidR="008D1DA3" w:rsidRPr="008D1DA3" w:rsidRDefault="008D1DA3" w:rsidP="008D1DA3">
      <w:pPr>
        <w:rPr>
          <w:rFonts w:ascii="Arial" w:hAnsi="Arial" w:cs="Arial"/>
          <w:sz w:val="20"/>
          <w:szCs w:val="20"/>
        </w:rPr>
      </w:pPr>
      <w:r w:rsidRPr="008D1DA3">
        <w:rPr>
          <w:rFonts w:ascii="Arial" w:hAnsi="Arial" w:cs="Arial"/>
          <w:sz w:val="20"/>
          <w:szCs w:val="20"/>
        </w:rPr>
        <w:t>The degree of financial leverage (DFL) is calculated as</w:t>
      </w:r>
    </w:p>
    <w:p w14:paraId="1C0579D2" w14:textId="77777777" w:rsidR="008D1DA3" w:rsidRPr="008D1DA3" w:rsidRDefault="008D1DA3" w:rsidP="008D1DA3">
      <w:pPr>
        <w:rPr>
          <w:rFonts w:ascii="Arial" w:hAnsi="Arial" w:cs="Arial"/>
          <w:sz w:val="20"/>
          <w:szCs w:val="20"/>
        </w:rPr>
      </w:pPr>
    </w:p>
    <w:p w14:paraId="191F1F58" w14:textId="77777777" w:rsidR="008D1DA3" w:rsidRPr="008D1DA3" w:rsidRDefault="008D1DA3" w:rsidP="008D1DA3">
      <w:pPr>
        <w:rPr>
          <w:rFonts w:ascii="Arial" w:hAnsi="Arial" w:cs="Arial"/>
          <w:sz w:val="20"/>
          <w:szCs w:val="20"/>
        </w:rPr>
      </w:pPr>
      <w:r w:rsidRPr="008D1DA3">
        <w:rPr>
          <w:rFonts w:ascii="Arial" w:hAnsi="Arial" w:cs="Arial"/>
          <w:sz w:val="20"/>
          <w:szCs w:val="20"/>
        </w:rPr>
        <w:t>and is interpreted as</w:t>
      </w:r>
    </w:p>
    <w:p w14:paraId="5A023355" w14:textId="77777777" w:rsidR="008D1DA3" w:rsidRPr="008D1DA3" w:rsidRDefault="008D1DA3" w:rsidP="008D1DA3">
      <w:pPr>
        <w:rPr>
          <w:rFonts w:ascii="Arial" w:hAnsi="Arial" w:cs="Arial"/>
          <w:sz w:val="20"/>
          <w:szCs w:val="20"/>
        </w:rPr>
      </w:pPr>
    </w:p>
    <w:p w14:paraId="21781ED8" w14:textId="77777777" w:rsidR="008D1DA3" w:rsidRPr="008D1DA3" w:rsidRDefault="008D1DA3" w:rsidP="008D1DA3">
      <w:pPr>
        <w:rPr>
          <w:rFonts w:ascii="Arial" w:hAnsi="Arial" w:cs="Arial"/>
          <w:sz w:val="20"/>
          <w:szCs w:val="20"/>
        </w:rPr>
      </w:pPr>
      <w:r w:rsidRPr="008D1DA3">
        <w:rPr>
          <w:rFonts w:ascii="Arial" w:hAnsi="Arial" w:cs="Arial"/>
          <w:sz w:val="20"/>
          <w:szCs w:val="20"/>
        </w:rPr>
        <w:t>and is interpreted as</w:t>
      </w:r>
    </w:p>
    <w:p w14:paraId="18440B94" w14:textId="77777777" w:rsidR="008D1DA3" w:rsidRPr="008D1DA3" w:rsidRDefault="008D1DA3" w:rsidP="008D1DA3">
      <w:pPr>
        <w:rPr>
          <w:rFonts w:ascii="Arial" w:hAnsi="Arial" w:cs="Arial"/>
          <w:sz w:val="20"/>
          <w:szCs w:val="20"/>
        </w:rPr>
      </w:pPr>
    </w:p>
    <w:p w14:paraId="057CEEB5" w14:textId="77777777" w:rsidR="008D1DA3" w:rsidRPr="008D1DA3" w:rsidRDefault="008D1DA3" w:rsidP="008D1DA3">
      <w:pPr>
        <w:rPr>
          <w:rFonts w:ascii="Arial" w:hAnsi="Arial" w:cs="Arial"/>
          <w:sz w:val="20"/>
          <w:szCs w:val="20"/>
        </w:rPr>
      </w:pPr>
      <w:r w:rsidRPr="008D1DA3">
        <w:rPr>
          <w:rFonts w:ascii="Arial" w:hAnsi="Arial" w:cs="Arial"/>
          <w:sz w:val="20"/>
          <w:szCs w:val="20"/>
        </w:rPr>
        <w:t>The degree of total leverage (DTL) is the combination of operating and financial leverage and is calculated as DOL × DFL and interpreted as</w:t>
      </w:r>
    </w:p>
    <w:p w14:paraId="24DE433D" w14:textId="77777777" w:rsidR="008D1DA3" w:rsidRPr="008D1DA3" w:rsidRDefault="008D1DA3" w:rsidP="008D1DA3">
      <w:pPr>
        <w:rPr>
          <w:rFonts w:ascii="Arial" w:hAnsi="Arial" w:cs="Arial"/>
          <w:sz w:val="20"/>
          <w:szCs w:val="20"/>
        </w:rPr>
      </w:pPr>
    </w:p>
    <w:p w14:paraId="7DC63873" w14:textId="77777777" w:rsidR="008D1DA3" w:rsidRPr="008D1DA3" w:rsidRDefault="008D1DA3" w:rsidP="008D1DA3">
      <w:pPr>
        <w:rPr>
          <w:rFonts w:ascii="Arial" w:hAnsi="Arial" w:cs="Arial"/>
          <w:sz w:val="20"/>
          <w:szCs w:val="20"/>
        </w:rPr>
      </w:pPr>
      <w:r w:rsidRPr="008D1DA3">
        <w:rPr>
          <w:rFonts w:ascii="Arial" w:hAnsi="Arial" w:cs="Arial"/>
          <w:sz w:val="20"/>
          <w:szCs w:val="20"/>
        </w:rPr>
        <w:t>LOS 36.c</w:t>
      </w:r>
    </w:p>
    <w:p w14:paraId="387083F2" w14:textId="77777777" w:rsidR="008D1DA3" w:rsidRPr="008D1DA3" w:rsidRDefault="008D1DA3" w:rsidP="008D1DA3">
      <w:pPr>
        <w:rPr>
          <w:rFonts w:ascii="Arial" w:hAnsi="Arial" w:cs="Arial"/>
          <w:sz w:val="20"/>
          <w:szCs w:val="20"/>
        </w:rPr>
      </w:pPr>
    </w:p>
    <w:p w14:paraId="4F82B19B" w14:textId="77777777" w:rsidR="008D1DA3" w:rsidRPr="008D1DA3" w:rsidRDefault="008D1DA3" w:rsidP="008D1DA3">
      <w:pPr>
        <w:rPr>
          <w:rFonts w:ascii="Arial" w:hAnsi="Arial" w:cs="Arial"/>
          <w:sz w:val="20"/>
          <w:szCs w:val="20"/>
        </w:rPr>
      </w:pPr>
      <w:r w:rsidRPr="008D1DA3">
        <w:rPr>
          <w:rFonts w:ascii="Arial" w:hAnsi="Arial" w:cs="Arial"/>
          <w:sz w:val="20"/>
          <w:szCs w:val="20"/>
        </w:rPr>
        <w:t>Using more debt and less equity in a firm’s capital structure reduces net income through added interest expense but also reduces net equity. The net effect can be to either increase or decrease ROE.</w:t>
      </w:r>
    </w:p>
    <w:p w14:paraId="63E46737" w14:textId="77777777" w:rsidR="008D1DA3" w:rsidRPr="008D1DA3" w:rsidRDefault="008D1DA3" w:rsidP="008D1DA3">
      <w:pPr>
        <w:rPr>
          <w:rFonts w:ascii="Arial" w:hAnsi="Arial" w:cs="Arial"/>
          <w:sz w:val="20"/>
          <w:szCs w:val="20"/>
        </w:rPr>
      </w:pPr>
    </w:p>
    <w:p w14:paraId="4C589600" w14:textId="77777777" w:rsidR="008D1DA3" w:rsidRPr="008D1DA3" w:rsidRDefault="008D1DA3" w:rsidP="008D1DA3">
      <w:pPr>
        <w:rPr>
          <w:rFonts w:ascii="Arial" w:hAnsi="Arial" w:cs="Arial"/>
          <w:sz w:val="20"/>
          <w:szCs w:val="20"/>
        </w:rPr>
      </w:pPr>
      <w:r w:rsidRPr="008D1DA3">
        <w:rPr>
          <w:rFonts w:ascii="Arial" w:hAnsi="Arial" w:cs="Arial"/>
          <w:sz w:val="20"/>
          <w:szCs w:val="20"/>
        </w:rPr>
        <w:t>LOS 36.d</w:t>
      </w:r>
    </w:p>
    <w:p w14:paraId="7D7F62DA" w14:textId="77777777" w:rsidR="008D1DA3" w:rsidRPr="008D1DA3" w:rsidRDefault="008D1DA3" w:rsidP="008D1DA3">
      <w:pPr>
        <w:rPr>
          <w:rFonts w:ascii="Arial" w:hAnsi="Arial" w:cs="Arial"/>
          <w:sz w:val="20"/>
          <w:szCs w:val="20"/>
        </w:rPr>
      </w:pPr>
    </w:p>
    <w:p w14:paraId="1B0031C5" w14:textId="77777777" w:rsidR="008D1DA3" w:rsidRPr="008D1DA3" w:rsidRDefault="008D1DA3" w:rsidP="008D1DA3">
      <w:pPr>
        <w:rPr>
          <w:rFonts w:ascii="Arial" w:hAnsi="Arial" w:cs="Arial"/>
          <w:sz w:val="20"/>
          <w:szCs w:val="20"/>
        </w:rPr>
      </w:pPr>
      <w:r w:rsidRPr="008D1DA3">
        <w:rPr>
          <w:rFonts w:ascii="Arial" w:hAnsi="Arial" w:cs="Arial"/>
          <w:sz w:val="20"/>
          <w:szCs w:val="20"/>
        </w:rPr>
        <w:t>The breakeven quantity of sales is the amount of sales necessary to produce a net income of zero (total revenue just covers total costs) and can be calculated as:</w:t>
      </w:r>
    </w:p>
    <w:p w14:paraId="71820DAF" w14:textId="77777777" w:rsidR="008D1DA3" w:rsidRPr="008D1DA3" w:rsidRDefault="008D1DA3" w:rsidP="008D1DA3">
      <w:pPr>
        <w:rPr>
          <w:rFonts w:ascii="Arial" w:hAnsi="Arial" w:cs="Arial"/>
          <w:sz w:val="20"/>
          <w:szCs w:val="20"/>
        </w:rPr>
      </w:pPr>
    </w:p>
    <w:p w14:paraId="2553D87B" w14:textId="77777777" w:rsidR="008D1DA3" w:rsidRPr="008D1DA3" w:rsidRDefault="008D1DA3" w:rsidP="008D1DA3">
      <w:pPr>
        <w:rPr>
          <w:rFonts w:ascii="Arial" w:hAnsi="Arial" w:cs="Arial"/>
          <w:sz w:val="20"/>
          <w:szCs w:val="20"/>
        </w:rPr>
      </w:pPr>
      <w:r w:rsidRPr="008D1DA3">
        <w:rPr>
          <w:rFonts w:ascii="Arial" w:hAnsi="Arial" w:cs="Arial"/>
          <w:sz w:val="20"/>
          <w:szCs w:val="20"/>
        </w:rPr>
        <w:t>Net income at various sales levels can be calculated as total revenue (i.e., price × quantity sold) minus total costs (i.e., total fixed costs plus total variable costs).</w:t>
      </w:r>
    </w:p>
    <w:p w14:paraId="1CA49B5C" w14:textId="77777777" w:rsidR="008D1DA3" w:rsidRPr="008D1DA3" w:rsidRDefault="008D1DA3" w:rsidP="008D1DA3">
      <w:pPr>
        <w:rPr>
          <w:rFonts w:ascii="Arial" w:hAnsi="Arial" w:cs="Arial"/>
          <w:sz w:val="20"/>
          <w:szCs w:val="20"/>
        </w:rPr>
      </w:pPr>
    </w:p>
    <w:p w14:paraId="71E8E67F" w14:textId="77777777" w:rsidR="008D1DA3" w:rsidRPr="008D1DA3" w:rsidRDefault="008D1DA3" w:rsidP="008D1DA3">
      <w:pPr>
        <w:rPr>
          <w:rFonts w:ascii="Arial" w:hAnsi="Arial" w:cs="Arial"/>
          <w:sz w:val="20"/>
          <w:szCs w:val="20"/>
        </w:rPr>
      </w:pPr>
      <w:r w:rsidRPr="008D1DA3">
        <w:rPr>
          <w:rFonts w:ascii="Arial" w:hAnsi="Arial" w:cs="Arial"/>
          <w:sz w:val="20"/>
          <w:szCs w:val="20"/>
        </w:rPr>
        <w:t>LOS 36.e</w:t>
      </w:r>
    </w:p>
    <w:p w14:paraId="0EDF7A52" w14:textId="77777777" w:rsidR="008D1DA3" w:rsidRPr="008D1DA3" w:rsidRDefault="008D1DA3" w:rsidP="008D1DA3">
      <w:pPr>
        <w:rPr>
          <w:rFonts w:ascii="Arial" w:hAnsi="Arial" w:cs="Arial"/>
          <w:sz w:val="20"/>
          <w:szCs w:val="20"/>
        </w:rPr>
      </w:pPr>
    </w:p>
    <w:p w14:paraId="42699ABD" w14:textId="2E6449B9" w:rsidR="00885E90" w:rsidRDefault="008D1DA3" w:rsidP="008D1DA3">
      <w:pPr>
        <w:rPr>
          <w:rFonts w:ascii="Arial" w:hAnsi="Arial" w:cs="Arial" w:hint="eastAsia"/>
          <w:sz w:val="20"/>
          <w:szCs w:val="20"/>
        </w:rPr>
      </w:pPr>
      <w:r w:rsidRPr="008D1DA3">
        <w:rPr>
          <w:rFonts w:ascii="Arial" w:hAnsi="Arial" w:cs="Arial"/>
          <w:sz w:val="20"/>
          <w:szCs w:val="20"/>
        </w:rPr>
        <w:t>The operating breakeven quantity of sales is the amount of sales necessary to produce an operating income of zero (total revenue just covers total operating costs) and can be calculated as:</w:t>
      </w:r>
    </w:p>
    <w:p w14:paraId="586CFEF2" w14:textId="77777777" w:rsidR="008D1DA3" w:rsidRDefault="008D1DA3" w:rsidP="008D1DA3">
      <w:pPr>
        <w:rPr>
          <w:rFonts w:ascii="Arial" w:hAnsi="Arial" w:cs="Arial" w:hint="eastAsia"/>
          <w:sz w:val="20"/>
          <w:szCs w:val="20"/>
        </w:rPr>
      </w:pPr>
    </w:p>
    <w:p w14:paraId="7E5A7A74" w14:textId="77777777" w:rsidR="001E3117" w:rsidRDefault="001E3117" w:rsidP="008D1DA3">
      <w:pPr>
        <w:rPr>
          <w:rFonts w:ascii="Arial" w:hAnsi="Arial" w:cs="Arial" w:hint="eastAsia"/>
          <w:sz w:val="20"/>
          <w:szCs w:val="20"/>
        </w:rPr>
      </w:pPr>
    </w:p>
    <w:p w14:paraId="7018ADAC" w14:textId="77777777" w:rsidR="001E3117" w:rsidRDefault="001E3117" w:rsidP="008D1DA3">
      <w:pPr>
        <w:rPr>
          <w:rFonts w:ascii="Arial" w:hAnsi="Arial" w:cs="Arial" w:hint="eastAsia"/>
          <w:sz w:val="20"/>
          <w:szCs w:val="20"/>
        </w:rPr>
      </w:pPr>
    </w:p>
    <w:p w14:paraId="7DCB914C" w14:textId="4F1D5300" w:rsidR="001E3117" w:rsidRDefault="001E3117" w:rsidP="008D1DA3">
      <w:pPr>
        <w:rPr>
          <w:rFonts w:ascii="Arial" w:hAnsi="Arial" w:cs="Arial" w:hint="eastAsia"/>
          <w:sz w:val="20"/>
          <w:szCs w:val="20"/>
        </w:rPr>
      </w:pPr>
      <w:r>
        <w:rPr>
          <w:rFonts w:ascii="Arial" w:hAnsi="Arial" w:cs="Arial" w:hint="eastAsia"/>
          <w:sz w:val="20"/>
          <w:szCs w:val="20"/>
        </w:rPr>
        <w:t>Reading 37 Working Capital Management</w:t>
      </w:r>
    </w:p>
    <w:p w14:paraId="41716D36" w14:textId="77777777" w:rsidR="00E96357" w:rsidRPr="00E96357" w:rsidRDefault="00E96357" w:rsidP="00E96357">
      <w:pPr>
        <w:rPr>
          <w:rFonts w:ascii="Arial" w:hAnsi="Arial" w:cs="Arial"/>
          <w:sz w:val="20"/>
          <w:szCs w:val="20"/>
        </w:rPr>
      </w:pPr>
      <w:r w:rsidRPr="00E96357">
        <w:rPr>
          <w:rFonts w:ascii="Arial" w:hAnsi="Arial" w:cs="Arial"/>
          <w:sz w:val="20"/>
          <w:szCs w:val="20"/>
        </w:rPr>
        <w:t>LOS 37.a</w:t>
      </w:r>
    </w:p>
    <w:p w14:paraId="377792ED" w14:textId="77777777" w:rsidR="00E96357" w:rsidRPr="00E96357" w:rsidRDefault="00E96357" w:rsidP="00E96357">
      <w:pPr>
        <w:rPr>
          <w:rFonts w:ascii="Arial" w:hAnsi="Arial" w:cs="Arial"/>
          <w:sz w:val="20"/>
          <w:szCs w:val="20"/>
        </w:rPr>
      </w:pPr>
    </w:p>
    <w:p w14:paraId="014C4D91" w14:textId="77777777" w:rsidR="00E96357" w:rsidRPr="00E96357" w:rsidRDefault="00E96357" w:rsidP="00E96357">
      <w:pPr>
        <w:rPr>
          <w:rFonts w:ascii="Arial" w:hAnsi="Arial" w:cs="Arial"/>
          <w:sz w:val="20"/>
          <w:szCs w:val="20"/>
        </w:rPr>
      </w:pPr>
      <w:r w:rsidRPr="00E96357">
        <w:rPr>
          <w:rFonts w:ascii="Arial" w:hAnsi="Arial" w:cs="Arial"/>
          <w:sz w:val="20"/>
          <w:szCs w:val="20"/>
        </w:rPr>
        <w:t>Primary sources of liquidity are the sources of cash a company uses in its normal operations. If its primary sources are inadequate, a company can use secondary sources of liquidity such as asset sales, debt renegotiation, and bankruptcy reorganization. A company’s liquidity position depends on the effectiveness of its cash flow management and is influenced by drags on its cash inflows (e.g., uncollected receivables, obsolete inventory) and pulls on its cash outflows (e.g., early payments to vendors, reductions in credit limits).</w:t>
      </w:r>
    </w:p>
    <w:p w14:paraId="67486161" w14:textId="77777777" w:rsidR="00E96357" w:rsidRPr="00E96357" w:rsidRDefault="00E96357" w:rsidP="00E96357">
      <w:pPr>
        <w:rPr>
          <w:rFonts w:ascii="Arial" w:hAnsi="Arial" w:cs="Arial"/>
          <w:sz w:val="20"/>
          <w:szCs w:val="20"/>
        </w:rPr>
      </w:pPr>
    </w:p>
    <w:p w14:paraId="5ECCBECC" w14:textId="77777777" w:rsidR="00E96357" w:rsidRPr="00E96357" w:rsidRDefault="00E96357" w:rsidP="00E96357">
      <w:pPr>
        <w:rPr>
          <w:rFonts w:ascii="Arial" w:hAnsi="Arial" w:cs="Arial"/>
          <w:sz w:val="20"/>
          <w:szCs w:val="20"/>
        </w:rPr>
      </w:pPr>
      <w:r w:rsidRPr="00E96357">
        <w:rPr>
          <w:rFonts w:ascii="Arial" w:hAnsi="Arial" w:cs="Arial"/>
          <w:sz w:val="20"/>
          <w:szCs w:val="20"/>
        </w:rPr>
        <w:t>LOS 37.b</w:t>
      </w:r>
    </w:p>
    <w:p w14:paraId="6FC08760" w14:textId="77777777" w:rsidR="00E96357" w:rsidRPr="00E96357" w:rsidRDefault="00E96357" w:rsidP="00E96357">
      <w:pPr>
        <w:rPr>
          <w:rFonts w:ascii="Arial" w:hAnsi="Arial" w:cs="Arial"/>
          <w:sz w:val="20"/>
          <w:szCs w:val="20"/>
        </w:rPr>
      </w:pPr>
    </w:p>
    <w:p w14:paraId="481663F6" w14:textId="77777777" w:rsidR="00E96357" w:rsidRPr="00E96357" w:rsidRDefault="00E96357" w:rsidP="00E96357">
      <w:pPr>
        <w:rPr>
          <w:rFonts w:ascii="Arial" w:hAnsi="Arial" w:cs="Arial"/>
          <w:sz w:val="20"/>
          <w:szCs w:val="20"/>
        </w:rPr>
      </w:pPr>
      <w:r w:rsidRPr="00E96357">
        <w:rPr>
          <w:rFonts w:ascii="Arial" w:hAnsi="Arial" w:cs="Arial"/>
          <w:sz w:val="20"/>
          <w:szCs w:val="20"/>
        </w:rPr>
        <w:t>Measures of a company’s short-term liquidity include: Current ratio = current assets / current liabilities. Quick ratio = (cash + marketable securities + receivables) / current liabilities. Measures of how well a company is managing its working capital include: Receivables turnover = credit sales / average receivables. Number of days of receivables = 365 / receivables turnover. Inventory turnover = cost of goods sold / average inventory. Number of days of inventory = 365 / inventory turnover. Payables turnover = purchases / average trade payables. Number of days of payables = 365 / payables turnover.</w:t>
      </w:r>
    </w:p>
    <w:p w14:paraId="1E05B866" w14:textId="77777777" w:rsidR="00E96357" w:rsidRPr="00E96357" w:rsidRDefault="00E96357" w:rsidP="00E96357">
      <w:pPr>
        <w:rPr>
          <w:rFonts w:ascii="Arial" w:hAnsi="Arial" w:cs="Arial"/>
          <w:sz w:val="20"/>
          <w:szCs w:val="20"/>
        </w:rPr>
      </w:pPr>
    </w:p>
    <w:p w14:paraId="5C7FE756" w14:textId="77777777" w:rsidR="00E96357" w:rsidRPr="00E96357" w:rsidRDefault="00E96357" w:rsidP="00E96357">
      <w:pPr>
        <w:rPr>
          <w:rFonts w:ascii="Arial" w:hAnsi="Arial" w:cs="Arial"/>
          <w:sz w:val="20"/>
          <w:szCs w:val="20"/>
        </w:rPr>
      </w:pPr>
      <w:r w:rsidRPr="00E96357">
        <w:rPr>
          <w:rFonts w:ascii="Arial" w:hAnsi="Arial" w:cs="Arial"/>
          <w:sz w:val="20"/>
          <w:szCs w:val="20"/>
        </w:rPr>
        <w:t>LOS 37.c</w:t>
      </w:r>
    </w:p>
    <w:p w14:paraId="31DAB69E" w14:textId="77777777" w:rsidR="00E96357" w:rsidRPr="00E96357" w:rsidRDefault="00E96357" w:rsidP="00E96357">
      <w:pPr>
        <w:rPr>
          <w:rFonts w:ascii="Arial" w:hAnsi="Arial" w:cs="Arial"/>
          <w:sz w:val="20"/>
          <w:szCs w:val="20"/>
        </w:rPr>
      </w:pPr>
    </w:p>
    <w:p w14:paraId="2E9CA637" w14:textId="77777777" w:rsidR="00E96357" w:rsidRPr="00E96357" w:rsidRDefault="00E96357" w:rsidP="00E96357">
      <w:pPr>
        <w:rPr>
          <w:rFonts w:ascii="Arial" w:hAnsi="Arial" w:cs="Arial"/>
          <w:sz w:val="20"/>
          <w:szCs w:val="20"/>
        </w:rPr>
      </w:pPr>
      <w:r w:rsidRPr="00E96357">
        <w:rPr>
          <w:rFonts w:ascii="Arial" w:hAnsi="Arial" w:cs="Arial"/>
          <w:sz w:val="20"/>
          <w:szCs w:val="20"/>
        </w:rPr>
        <w:t>The operating cycle and the cash conversion cycle are summary measures of the effectiveness of a company’s working capital management. Operating cycle = days of inventory + days of receivables. Cash conversion cycle = days of inventory + days of receivables − days of payables. Operating and cash conversion cycles that are high relative to a company’s peers suggest the company has too much cash tied up in working capital.</w:t>
      </w:r>
    </w:p>
    <w:p w14:paraId="4AA14527" w14:textId="77777777" w:rsidR="00E96357" w:rsidRPr="00E96357" w:rsidRDefault="00E96357" w:rsidP="00E96357">
      <w:pPr>
        <w:rPr>
          <w:rFonts w:ascii="Arial" w:hAnsi="Arial" w:cs="Arial"/>
          <w:sz w:val="20"/>
          <w:szCs w:val="20"/>
        </w:rPr>
      </w:pPr>
    </w:p>
    <w:p w14:paraId="27E6B359" w14:textId="77777777" w:rsidR="00E96357" w:rsidRPr="00E96357" w:rsidRDefault="00E96357" w:rsidP="00E96357">
      <w:pPr>
        <w:rPr>
          <w:rFonts w:ascii="Arial" w:hAnsi="Arial" w:cs="Arial"/>
          <w:sz w:val="20"/>
          <w:szCs w:val="20"/>
        </w:rPr>
      </w:pPr>
      <w:r w:rsidRPr="00E96357">
        <w:rPr>
          <w:rFonts w:ascii="Arial" w:hAnsi="Arial" w:cs="Arial"/>
          <w:sz w:val="20"/>
          <w:szCs w:val="20"/>
        </w:rPr>
        <w:t>LOS 37.d</w:t>
      </w:r>
    </w:p>
    <w:p w14:paraId="587B306D" w14:textId="77777777" w:rsidR="00E96357" w:rsidRPr="00E96357" w:rsidRDefault="00E96357" w:rsidP="00E96357">
      <w:pPr>
        <w:rPr>
          <w:rFonts w:ascii="Arial" w:hAnsi="Arial" w:cs="Arial"/>
          <w:sz w:val="20"/>
          <w:szCs w:val="20"/>
        </w:rPr>
      </w:pPr>
    </w:p>
    <w:p w14:paraId="07612044" w14:textId="478D4359" w:rsidR="00E96357" w:rsidRDefault="00E96357" w:rsidP="00E96357">
      <w:pPr>
        <w:rPr>
          <w:rFonts w:ascii="Arial" w:hAnsi="Arial" w:cs="Arial" w:hint="eastAsia"/>
          <w:sz w:val="20"/>
          <w:szCs w:val="20"/>
        </w:rPr>
      </w:pPr>
      <w:r w:rsidRPr="00E96357">
        <w:rPr>
          <w:rFonts w:ascii="Arial" w:hAnsi="Arial" w:cs="Arial"/>
          <w:sz w:val="20"/>
          <w:szCs w:val="20"/>
        </w:rPr>
        <w:t xml:space="preserve">To manage its net daily cash position, a firm </w:t>
      </w:r>
      <w:proofErr w:type="gramStart"/>
      <w:r w:rsidRPr="00E96357">
        <w:rPr>
          <w:rFonts w:ascii="Arial" w:hAnsi="Arial" w:cs="Arial"/>
          <w:sz w:val="20"/>
          <w:szCs w:val="20"/>
        </w:rPr>
        <w:t>needs</w:t>
      </w:r>
      <w:proofErr w:type="gramEnd"/>
      <w:r w:rsidRPr="00E96357">
        <w:rPr>
          <w:rFonts w:ascii="Arial" w:hAnsi="Arial" w:cs="Arial"/>
          <w:sz w:val="20"/>
          <w:szCs w:val="20"/>
        </w:rPr>
        <w:t xml:space="preserve"> to forecast its cash inflows and outflows and identify periods when its cash balance may be lower than needed or higher than desired. Cash inflows include operating receipts, cash from subsidiaries, cash received from securities investments, tax refunds, and borrowing. Cash outflows include purchases, payroll, cash transfers to subsidiaries, interest and principal paid on debt, investments i</w:t>
      </w:r>
      <w:r w:rsidR="00E5613E">
        <w:rPr>
          <w:rFonts w:ascii="Arial" w:hAnsi="Arial" w:cs="Arial"/>
          <w:sz w:val="20"/>
          <w:szCs w:val="20"/>
        </w:rPr>
        <w:t xml:space="preserve">n securities, </w:t>
      </w:r>
      <w:r w:rsidR="00E5613E" w:rsidRPr="00E5613E">
        <w:rPr>
          <w:rFonts w:ascii="Arial" w:hAnsi="Arial" w:cs="Arial"/>
          <w:sz w:val="20"/>
          <w:szCs w:val="20"/>
        </w:rPr>
        <w:t>taxes paid, and dividends paid.</w:t>
      </w:r>
    </w:p>
    <w:p w14:paraId="45FBE78B" w14:textId="77777777" w:rsidR="00E5613E" w:rsidRPr="00E5613E" w:rsidRDefault="00E5613E" w:rsidP="00E5613E">
      <w:pPr>
        <w:rPr>
          <w:rFonts w:ascii="Arial" w:hAnsi="Arial" w:cs="Arial"/>
          <w:sz w:val="20"/>
          <w:szCs w:val="20"/>
        </w:rPr>
      </w:pPr>
      <w:r w:rsidRPr="00E5613E">
        <w:rPr>
          <w:rFonts w:ascii="Arial" w:hAnsi="Arial" w:cs="Arial"/>
          <w:sz w:val="20"/>
          <w:szCs w:val="20"/>
        </w:rPr>
        <w:t>LOS 37.e</w:t>
      </w:r>
    </w:p>
    <w:p w14:paraId="6BEE9416" w14:textId="77777777" w:rsidR="00E5613E" w:rsidRPr="00E5613E" w:rsidRDefault="00E5613E" w:rsidP="00E5613E">
      <w:pPr>
        <w:rPr>
          <w:rFonts w:ascii="Arial" w:hAnsi="Arial" w:cs="Arial"/>
          <w:sz w:val="20"/>
          <w:szCs w:val="20"/>
        </w:rPr>
      </w:pPr>
    </w:p>
    <w:p w14:paraId="3AB412F8" w14:textId="77777777" w:rsidR="00E5613E" w:rsidRPr="00E5613E" w:rsidRDefault="00E5613E" w:rsidP="00E5613E">
      <w:pPr>
        <w:rPr>
          <w:rFonts w:ascii="Arial" w:hAnsi="Arial" w:cs="Arial"/>
          <w:sz w:val="20"/>
          <w:szCs w:val="20"/>
        </w:rPr>
      </w:pPr>
      <w:r w:rsidRPr="00E5613E">
        <w:rPr>
          <w:rFonts w:ascii="Arial" w:hAnsi="Arial" w:cs="Arial"/>
          <w:sz w:val="20"/>
          <w:szCs w:val="20"/>
        </w:rPr>
        <w:t>Commonly used annualized yields for short-term pure discount securities are based on the days to maturity (days) of the securities and include:</w:t>
      </w:r>
    </w:p>
    <w:p w14:paraId="29487B0D" w14:textId="77777777" w:rsidR="00E5613E" w:rsidRPr="00E5613E" w:rsidRDefault="00E5613E" w:rsidP="00E5613E">
      <w:pPr>
        <w:rPr>
          <w:rFonts w:ascii="Arial" w:hAnsi="Arial" w:cs="Arial"/>
          <w:sz w:val="20"/>
          <w:szCs w:val="20"/>
        </w:rPr>
      </w:pPr>
    </w:p>
    <w:p w14:paraId="5CA57C16" w14:textId="77777777" w:rsidR="00E5613E" w:rsidRPr="00E5613E" w:rsidRDefault="00E5613E" w:rsidP="00E5613E">
      <w:pPr>
        <w:rPr>
          <w:rFonts w:ascii="Arial" w:hAnsi="Arial" w:cs="Arial"/>
          <w:sz w:val="20"/>
          <w:szCs w:val="20"/>
        </w:rPr>
      </w:pPr>
      <w:r w:rsidRPr="00E5613E">
        <w:rPr>
          <w:rFonts w:ascii="Arial" w:hAnsi="Arial" w:cs="Arial"/>
          <w:sz w:val="20"/>
          <w:szCs w:val="20"/>
        </w:rPr>
        <w:t>Discount-basis yields = % discount from face value × (360 / days).</w:t>
      </w:r>
    </w:p>
    <w:p w14:paraId="53963414" w14:textId="77777777" w:rsidR="00E5613E" w:rsidRPr="00E5613E" w:rsidRDefault="00E5613E" w:rsidP="00E5613E">
      <w:pPr>
        <w:rPr>
          <w:rFonts w:ascii="Arial" w:hAnsi="Arial" w:cs="Arial"/>
          <w:sz w:val="20"/>
          <w:szCs w:val="20"/>
        </w:rPr>
      </w:pPr>
    </w:p>
    <w:p w14:paraId="4458C62C" w14:textId="77777777" w:rsidR="00E5613E" w:rsidRPr="00E5613E" w:rsidRDefault="00E5613E" w:rsidP="00E5613E">
      <w:pPr>
        <w:rPr>
          <w:rFonts w:ascii="Arial" w:hAnsi="Arial" w:cs="Arial"/>
          <w:sz w:val="20"/>
          <w:szCs w:val="20"/>
        </w:rPr>
      </w:pPr>
      <w:r w:rsidRPr="00E5613E">
        <w:rPr>
          <w:rFonts w:ascii="Arial" w:hAnsi="Arial" w:cs="Arial"/>
          <w:sz w:val="20"/>
          <w:szCs w:val="20"/>
        </w:rPr>
        <w:t>Money market yields = HPY × (360 / days).</w:t>
      </w:r>
    </w:p>
    <w:p w14:paraId="1CB756D6" w14:textId="77777777" w:rsidR="00E5613E" w:rsidRPr="00E5613E" w:rsidRDefault="00E5613E" w:rsidP="00E5613E">
      <w:pPr>
        <w:rPr>
          <w:rFonts w:ascii="Arial" w:hAnsi="Arial" w:cs="Arial"/>
          <w:sz w:val="20"/>
          <w:szCs w:val="20"/>
        </w:rPr>
      </w:pPr>
    </w:p>
    <w:p w14:paraId="408B02D8" w14:textId="77777777" w:rsidR="00E5613E" w:rsidRPr="00E5613E" w:rsidRDefault="00E5613E" w:rsidP="00E5613E">
      <w:pPr>
        <w:rPr>
          <w:rFonts w:ascii="Arial" w:hAnsi="Arial" w:cs="Arial"/>
          <w:sz w:val="20"/>
          <w:szCs w:val="20"/>
        </w:rPr>
      </w:pPr>
      <w:r w:rsidRPr="00E5613E">
        <w:rPr>
          <w:rFonts w:ascii="Arial" w:hAnsi="Arial" w:cs="Arial"/>
          <w:sz w:val="20"/>
          <w:szCs w:val="20"/>
        </w:rPr>
        <w:t>Bond-equivalent yields = HPY × (365 / days).</w:t>
      </w:r>
    </w:p>
    <w:p w14:paraId="2FF8EDAA" w14:textId="77777777" w:rsidR="00E5613E" w:rsidRPr="00E5613E" w:rsidRDefault="00E5613E" w:rsidP="00E5613E">
      <w:pPr>
        <w:rPr>
          <w:rFonts w:ascii="Arial" w:hAnsi="Arial" w:cs="Arial"/>
          <w:sz w:val="20"/>
          <w:szCs w:val="20"/>
        </w:rPr>
      </w:pPr>
    </w:p>
    <w:p w14:paraId="7BC25A63" w14:textId="77777777" w:rsidR="00E5613E" w:rsidRPr="00E5613E" w:rsidRDefault="00E5613E" w:rsidP="00E5613E">
      <w:pPr>
        <w:rPr>
          <w:rFonts w:ascii="Arial" w:hAnsi="Arial" w:cs="Arial"/>
          <w:sz w:val="20"/>
          <w:szCs w:val="20"/>
        </w:rPr>
      </w:pPr>
      <w:r w:rsidRPr="00E5613E">
        <w:rPr>
          <w:rFonts w:ascii="Arial" w:hAnsi="Arial" w:cs="Arial"/>
          <w:sz w:val="20"/>
          <w:szCs w:val="20"/>
        </w:rPr>
        <w:t>The overall objective of short-term cash management is to earn a reasonable return while taking on only very limited credit and liquidity risk. Returns on the firm’s short- term securities investments should be stated as bond equivalent yields. The return on the portfolio should be expressed as a weighted average of these yields.</w:t>
      </w:r>
    </w:p>
    <w:p w14:paraId="6A127AAE" w14:textId="77777777" w:rsidR="00E5613E" w:rsidRPr="00E5613E" w:rsidRDefault="00E5613E" w:rsidP="00E5613E">
      <w:pPr>
        <w:rPr>
          <w:rFonts w:ascii="Arial" w:hAnsi="Arial" w:cs="Arial"/>
          <w:sz w:val="20"/>
          <w:szCs w:val="20"/>
        </w:rPr>
      </w:pPr>
    </w:p>
    <w:p w14:paraId="61F942A5" w14:textId="77777777" w:rsidR="00E5613E" w:rsidRPr="00E5613E" w:rsidRDefault="00E5613E" w:rsidP="00E5613E">
      <w:pPr>
        <w:rPr>
          <w:rFonts w:ascii="Arial" w:hAnsi="Arial" w:cs="Arial"/>
          <w:sz w:val="20"/>
          <w:szCs w:val="20"/>
        </w:rPr>
      </w:pPr>
      <w:r w:rsidRPr="00E5613E">
        <w:rPr>
          <w:rFonts w:ascii="Arial" w:hAnsi="Arial" w:cs="Arial"/>
          <w:sz w:val="20"/>
          <w:szCs w:val="20"/>
        </w:rPr>
        <w:t>An investment policy statement should include the objectives of the cash management program, details of who is authorized to purchase securities, authorization for the purchase of specific types of securities, limitations on portfolio proportions of each type, and procedures in the event that guidelines are violated.</w:t>
      </w:r>
    </w:p>
    <w:p w14:paraId="327EA130" w14:textId="77777777" w:rsidR="00E5613E" w:rsidRPr="00E5613E" w:rsidRDefault="00E5613E" w:rsidP="00E5613E">
      <w:pPr>
        <w:rPr>
          <w:rFonts w:ascii="Arial" w:hAnsi="Arial" w:cs="Arial"/>
          <w:sz w:val="20"/>
          <w:szCs w:val="20"/>
        </w:rPr>
      </w:pPr>
    </w:p>
    <w:p w14:paraId="3EFA81D5" w14:textId="77777777" w:rsidR="00E5613E" w:rsidRPr="00E5613E" w:rsidRDefault="00E5613E" w:rsidP="00E5613E">
      <w:pPr>
        <w:rPr>
          <w:rFonts w:ascii="Arial" w:hAnsi="Arial" w:cs="Arial"/>
          <w:sz w:val="20"/>
          <w:szCs w:val="20"/>
        </w:rPr>
      </w:pPr>
      <w:r w:rsidRPr="00E5613E">
        <w:rPr>
          <w:rFonts w:ascii="Arial" w:hAnsi="Arial" w:cs="Arial"/>
          <w:sz w:val="20"/>
          <w:szCs w:val="20"/>
        </w:rPr>
        <w:t>LOS 37.f</w:t>
      </w:r>
    </w:p>
    <w:p w14:paraId="2B53A897" w14:textId="77777777" w:rsidR="00E5613E" w:rsidRPr="00E5613E" w:rsidRDefault="00E5613E" w:rsidP="00E5613E">
      <w:pPr>
        <w:rPr>
          <w:rFonts w:ascii="Arial" w:hAnsi="Arial" w:cs="Arial"/>
          <w:sz w:val="20"/>
          <w:szCs w:val="20"/>
        </w:rPr>
      </w:pPr>
    </w:p>
    <w:p w14:paraId="43776506" w14:textId="77777777" w:rsidR="00E5613E" w:rsidRPr="00E5613E" w:rsidRDefault="00E5613E" w:rsidP="00E5613E">
      <w:pPr>
        <w:rPr>
          <w:rFonts w:ascii="Arial" w:hAnsi="Arial" w:cs="Arial"/>
          <w:sz w:val="20"/>
          <w:szCs w:val="20"/>
        </w:rPr>
      </w:pPr>
      <w:r w:rsidRPr="00E5613E">
        <w:rPr>
          <w:rFonts w:ascii="Arial" w:hAnsi="Arial" w:cs="Arial"/>
          <w:sz w:val="20"/>
          <w:szCs w:val="20"/>
        </w:rPr>
        <w:t>A firm’s inventory, receivables, and payables management can be evaluated by comparing days of inventory, days of receivables, and days of payables for the firm over time and by comparing them to industry averages or averages for a group of peer companies.</w:t>
      </w:r>
    </w:p>
    <w:p w14:paraId="566B6B8C" w14:textId="77777777" w:rsidR="00E5613E" w:rsidRPr="00E5613E" w:rsidRDefault="00E5613E" w:rsidP="00E5613E">
      <w:pPr>
        <w:rPr>
          <w:rFonts w:ascii="Arial" w:hAnsi="Arial" w:cs="Arial"/>
          <w:sz w:val="20"/>
          <w:szCs w:val="20"/>
        </w:rPr>
      </w:pPr>
    </w:p>
    <w:p w14:paraId="7209C7ED" w14:textId="77777777" w:rsidR="00E5613E" w:rsidRPr="00E5613E" w:rsidRDefault="00E5613E" w:rsidP="00E5613E">
      <w:pPr>
        <w:rPr>
          <w:rFonts w:ascii="Arial" w:hAnsi="Arial" w:cs="Arial"/>
          <w:sz w:val="20"/>
          <w:szCs w:val="20"/>
        </w:rPr>
      </w:pPr>
      <w:r w:rsidRPr="00E5613E">
        <w:rPr>
          <w:rFonts w:ascii="Arial" w:hAnsi="Arial" w:cs="Arial"/>
          <w:sz w:val="20"/>
          <w:szCs w:val="20"/>
        </w:rPr>
        <w:t>A receivables aging schedule and a schedule of weighted average days of receivables can each provide additional detail for evaluating receivables management.</w:t>
      </w:r>
    </w:p>
    <w:p w14:paraId="7C47C8C7" w14:textId="77777777" w:rsidR="00E5613E" w:rsidRPr="00E5613E" w:rsidRDefault="00E5613E" w:rsidP="00E5613E">
      <w:pPr>
        <w:rPr>
          <w:rFonts w:ascii="Arial" w:hAnsi="Arial" w:cs="Arial"/>
          <w:sz w:val="20"/>
          <w:szCs w:val="20"/>
        </w:rPr>
      </w:pPr>
    </w:p>
    <w:p w14:paraId="68EE79E5" w14:textId="77777777" w:rsidR="00E5613E" w:rsidRPr="00E5613E" w:rsidRDefault="00E5613E" w:rsidP="00E5613E">
      <w:pPr>
        <w:rPr>
          <w:rFonts w:ascii="Arial" w:hAnsi="Arial" w:cs="Arial"/>
          <w:sz w:val="20"/>
          <w:szCs w:val="20"/>
        </w:rPr>
      </w:pPr>
      <w:r w:rsidRPr="00E5613E">
        <w:rPr>
          <w:rFonts w:ascii="Arial" w:hAnsi="Arial" w:cs="Arial"/>
          <w:sz w:val="20"/>
          <w:szCs w:val="20"/>
        </w:rPr>
        <w:t>LOS 37.g</w:t>
      </w:r>
    </w:p>
    <w:p w14:paraId="1FC72CEC" w14:textId="77777777" w:rsidR="00E5613E" w:rsidRPr="00E5613E" w:rsidRDefault="00E5613E" w:rsidP="00E5613E">
      <w:pPr>
        <w:rPr>
          <w:rFonts w:ascii="Arial" w:hAnsi="Arial" w:cs="Arial"/>
          <w:sz w:val="20"/>
          <w:szCs w:val="20"/>
        </w:rPr>
      </w:pPr>
    </w:p>
    <w:p w14:paraId="37130E56" w14:textId="77777777" w:rsidR="00E5613E" w:rsidRPr="00E5613E" w:rsidRDefault="00E5613E" w:rsidP="00E5613E">
      <w:pPr>
        <w:rPr>
          <w:rFonts w:ascii="Arial" w:hAnsi="Arial" w:cs="Arial"/>
          <w:sz w:val="20"/>
          <w:szCs w:val="20"/>
        </w:rPr>
      </w:pPr>
      <w:r w:rsidRPr="00E5613E">
        <w:rPr>
          <w:rFonts w:ascii="Arial" w:hAnsi="Arial" w:cs="Arial"/>
          <w:sz w:val="20"/>
          <w:szCs w:val="20"/>
        </w:rPr>
        <w:t>There are many choices for short-term borrowing. The firm should keep costs down while also allowing for future flexibility and alternative sources.</w:t>
      </w:r>
    </w:p>
    <w:p w14:paraId="7119C059" w14:textId="77777777" w:rsidR="00E5613E" w:rsidRPr="00E5613E" w:rsidRDefault="00E5613E" w:rsidP="00E5613E">
      <w:pPr>
        <w:rPr>
          <w:rFonts w:ascii="Arial" w:hAnsi="Arial" w:cs="Arial"/>
          <w:sz w:val="20"/>
          <w:szCs w:val="20"/>
        </w:rPr>
      </w:pPr>
    </w:p>
    <w:p w14:paraId="03F4FEA3" w14:textId="77777777" w:rsidR="00E5613E" w:rsidRPr="00E5613E" w:rsidRDefault="00E5613E" w:rsidP="00E5613E">
      <w:pPr>
        <w:rPr>
          <w:rFonts w:ascii="Arial" w:hAnsi="Arial" w:cs="Arial"/>
          <w:sz w:val="20"/>
          <w:szCs w:val="20"/>
        </w:rPr>
      </w:pPr>
      <w:r w:rsidRPr="00E5613E">
        <w:rPr>
          <w:rFonts w:ascii="Arial" w:hAnsi="Arial" w:cs="Arial"/>
          <w:sz w:val="20"/>
          <w:szCs w:val="20"/>
        </w:rPr>
        <w:t>The choice of short-term funding sources depends on a firm’s size and creditworthiness. Sources available, in order of decreasing firm creditworthiness and increasing cost, include:</w:t>
      </w:r>
    </w:p>
    <w:p w14:paraId="68D960B2" w14:textId="77777777" w:rsidR="00E5613E" w:rsidRPr="00E5613E" w:rsidRDefault="00E5613E" w:rsidP="00E5613E">
      <w:pPr>
        <w:rPr>
          <w:rFonts w:ascii="Arial" w:hAnsi="Arial" w:cs="Arial"/>
          <w:sz w:val="20"/>
          <w:szCs w:val="20"/>
        </w:rPr>
      </w:pPr>
    </w:p>
    <w:p w14:paraId="765F7051" w14:textId="77777777" w:rsidR="00E5613E" w:rsidRPr="00E5613E" w:rsidRDefault="00E5613E" w:rsidP="00E5613E">
      <w:pPr>
        <w:rPr>
          <w:rFonts w:ascii="Arial" w:hAnsi="Arial" w:cs="Arial"/>
          <w:sz w:val="20"/>
          <w:szCs w:val="20"/>
        </w:rPr>
      </w:pPr>
      <w:r w:rsidRPr="00E5613E">
        <w:rPr>
          <w:rFonts w:ascii="Arial" w:hAnsi="Arial" w:cs="Arial"/>
          <w:sz w:val="20"/>
          <w:szCs w:val="20"/>
        </w:rPr>
        <w:t>Commercial paper.</w:t>
      </w:r>
    </w:p>
    <w:p w14:paraId="4664C398" w14:textId="77777777" w:rsidR="00E5613E" w:rsidRPr="00E5613E" w:rsidRDefault="00E5613E" w:rsidP="00E5613E">
      <w:pPr>
        <w:rPr>
          <w:rFonts w:ascii="Arial" w:hAnsi="Arial" w:cs="Arial"/>
          <w:sz w:val="20"/>
          <w:szCs w:val="20"/>
        </w:rPr>
      </w:pPr>
    </w:p>
    <w:p w14:paraId="22B074EA" w14:textId="77777777" w:rsidR="00E5613E" w:rsidRPr="00E5613E" w:rsidRDefault="00E5613E" w:rsidP="00E5613E">
      <w:pPr>
        <w:rPr>
          <w:rFonts w:ascii="Arial" w:hAnsi="Arial" w:cs="Arial"/>
          <w:sz w:val="20"/>
          <w:szCs w:val="20"/>
        </w:rPr>
      </w:pPr>
      <w:r w:rsidRPr="00E5613E">
        <w:rPr>
          <w:rFonts w:ascii="Arial" w:hAnsi="Arial" w:cs="Arial"/>
          <w:sz w:val="20"/>
          <w:szCs w:val="20"/>
        </w:rPr>
        <w:t>Bank lines of credit.</w:t>
      </w:r>
    </w:p>
    <w:p w14:paraId="6681EE8D" w14:textId="77777777" w:rsidR="00E5613E" w:rsidRPr="00E5613E" w:rsidRDefault="00E5613E" w:rsidP="00E5613E">
      <w:pPr>
        <w:rPr>
          <w:rFonts w:ascii="Arial" w:hAnsi="Arial" w:cs="Arial"/>
          <w:sz w:val="20"/>
          <w:szCs w:val="20"/>
        </w:rPr>
      </w:pPr>
    </w:p>
    <w:p w14:paraId="21A9843F" w14:textId="77777777" w:rsidR="00E5613E" w:rsidRPr="00E5613E" w:rsidRDefault="00E5613E" w:rsidP="00E5613E">
      <w:pPr>
        <w:rPr>
          <w:rFonts w:ascii="Arial" w:hAnsi="Arial" w:cs="Arial"/>
          <w:sz w:val="20"/>
          <w:szCs w:val="20"/>
        </w:rPr>
      </w:pPr>
      <w:r w:rsidRPr="00E5613E">
        <w:rPr>
          <w:rFonts w:ascii="Arial" w:hAnsi="Arial" w:cs="Arial"/>
          <w:sz w:val="20"/>
          <w:szCs w:val="20"/>
        </w:rPr>
        <w:t>Collateralized borrowing.</w:t>
      </w:r>
    </w:p>
    <w:p w14:paraId="7F432360" w14:textId="77777777" w:rsidR="00E5613E" w:rsidRPr="00E5613E" w:rsidRDefault="00E5613E" w:rsidP="00E5613E">
      <w:pPr>
        <w:rPr>
          <w:rFonts w:ascii="Arial" w:hAnsi="Arial" w:cs="Arial"/>
          <w:sz w:val="20"/>
          <w:szCs w:val="20"/>
        </w:rPr>
      </w:pPr>
    </w:p>
    <w:p w14:paraId="4DB10672" w14:textId="77777777" w:rsidR="00E5613E" w:rsidRPr="00E5613E" w:rsidRDefault="00E5613E" w:rsidP="00E5613E">
      <w:pPr>
        <w:rPr>
          <w:rFonts w:ascii="Arial" w:hAnsi="Arial" w:cs="Arial"/>
          <w:sz w:val="20"/>
          <w:szCs w:val="20"/>
        </w:rPr>
      </w:pPr>
      <w:r w:rsidRPr="00E5613E">
        <w:rPr>
          <w:rFonts w:ascii="Arial" w:hAnsi="Arial" w:cs="Arial"/>
          <w:sz w:val="20"/>
          <w:szCs w:val="20"/>
        </w:rPr>
        <w:t>Nonbank financing.</w:t>
      </w:r>
    </w:p>
    <w:p w14:paraId="1B5124E6" w14:textId="77777777" w:rsidR="00E5613E" w:rsidRPr="00E5613E" w:rsidRDefault="00E5613E" w:rsidP="00E5613E">
      <w:pPr>
        <w:rPr>
          <w:rFonts w:ascii="Arial" w:hAnsi="Arial" w:cs="Arial"/>
          <w:sz w:val="20"/>
          <w:szCs w:val="20"/>
        </w:rPr>
      </w:pPr>
    </w:p>
    <w:p w14:paraId="7CC54539" w14:textId="13014B19" w:rsidR="00E5613E" w:rsidRDefault="00E5613E" w:rsidP="00E5613E">
      <w:pPr>
        <w:rPr>
          <w:rFonts w:ascii="Arial" w:hAnsi="Arial" w:cs="Arial" w:hint="eastAsia"/>
          <w:sz w:val="20"/>
          <w:szCs w:val="20"/>
        </w:rPr>
      </w:pPr>
      <w:r w:rsidRPr="00E5613E">
        <w:rPr>
          <w:rFonts w:ascii="Arial" w:hAnsi="Arial" w:cs="Arial"/>
          <w:sz w:val="20"/>
          <w:szCs w:val="20"/>
        </w:rPr>
        <w:t>Factoring.</w:t>
      </w:r>
    </w:p>
    <w:p w14:paraId="29A68E7A" w14:textId="77777777" w:rsidR="007C0706" w:rsidRDefault="007C0706" w:rsidP="00E5613E">
      <w:pPr>
        <w:rPr>
          <w:rFonts w:ascii="Arial" w:hAnsi="Arial" w:cs="Arial" w:hint="eastAsia"/>
          <w:sz w:val="20"/>
          <w:szCs w:val="20"/>
        </w:rPr>
      </w:pPr>
    </w:p>
    <w:p w14:paraId="75B4AE7E" w14:textId="77D10A75" w:rsidR="007C0706" w:rsidRPr="00636F86" w:rsidRDefault="007C0706" w:rsidP="00E5613E">
      <w:pPr>
        <w:rPr>
          <w:rFonts w:ascii="Arial" w:hAnsi="Arial" w:cs="Arial" w:hint="eastAsia"/>
          <w:sz w:val="20"/>
          <w:szCs w:val="20"/>
        </w:rPr>
      </w:pPr>
      <w:r w:rsidRPr="007C0706">
        <w:rPr>
          <w:rFonts w:ascii="Arial" w:hAnsi="Arial" w:cs="Arial"/>
          <w:sz w:val="20"/>
          <w:szCs w:val="20"/>
        </w:rPr>
        <w:t>Large firms with good credit have access to the commercial paper market and can get lower financing costs with commercial paper than they can with bank borrowing. Bankers’ acceptances are used by companies involved in international trade. Factoring of receivables is a higher-cost source of funds and is used more by smaller firms that do not have particularly strong credit.</w:t>
      </w:r>
      <w:bookmarkStart w:id="0" w:name="_GoBack"/>
      <w:bookmarkEnd w:id="0"/>
    </w:p>
    <w:sectPr w:rsidR="007C0706" w:rsidRPr="00636F86" w:rsidSect="00F66BA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F86"/>
    <w:rsid w:val="000951C5"/>
    <w:rsid w:val="001E3117"/>
    <w:rsid w:val="00636F86"/>
    <w:rsid w:val="007C0706"/>
    <w:rsid w:val="00885E90"/>
    <w:rsid w:val="008D1DA3"/>
    <w:rsid w:val="009D7E26"/>
    <w:rsid w:val="009F16FA"/>
    <w:rsid w:val="00C609D9"/>
    <w:rsid w:val="00DB0E58"/>
    <w:rsid w:val="00E5613E"/>
    <w:rsid w:val="00E96357"/>
    <w:rsid w:val="00EB6CA8"/>
    <w:rsid w:val="00F6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7F7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2621</Words>
  <Characters>14944</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tiffanyxu0104@163.com</dc:creator>
  <cp:keywords/>
  <dc:description/>
  <cp:lastModifiedBy>tiffanyxu0104@163.com</cp:lastModifiedBy>
  <cp:revision>2</cp:revision>
  <dcterms:created xsi:type="dcterms:W3CDTF">2019-11-19T02:25:00Z</dcterms:created>
  <dcterms:modified xsi:type="dcterms:W3CDTF">2019-11-20T13:20:00Z</dcterms:modified>
</cp:coreProperties>
</file>