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宋体" w:hAnsi="宋体" w:eastAsia="宋体"/>
          <w:b/>
          <w:color w:val="000000"/>
          <w:sz w:val="24"/>
        </w:rPr>
        <w:t>《多媒体技术》课程大作业 · 语音部分</w:t>
      </w:r>
    </w:p>
    <w:p>
      <w:pPr>
        <w:spacing w:before="0" w:after="80" w:line="240" w:lineRule="auto"/>
        <w:ind w:firstLine="0"/>
        <w:jc w:val="center"/>
      </w:pPr>
      <w:r>
        <w:rPr>
          <w:rFonts w:ascii="宋体" w:hAnsi="宋体" w:eastAsia="宋体"/>
          <w:b/>
          <w:color w:val="000000"/>
          <w:sz w:val="30"/>
        </w:rPr>
        <w:t>从零训练一个关键词唤醒模型（KWS）</w:t>
      </w:r>
    </w:p>
    <w:p>
      <w:pPr>
        <w:spacing w:before="0" w:after="120" w:line="240" w:lineRule="auto"/>
        <w:ind w:firstLine="0"/>
        <w:jc w:val="center"/>
      </w:pPr>
      <w:r>
        <w:rPr>
          <w:rFonts w:ascii="宋体" w:hAnsi="宋体" w:eastAsia="宋体"/>
          <w:b w:val="0"/>
          <w:color w:val="000000"/>
          <w:sz w:val="20"/>
        </w:rPr>
        <w:t>肖怀瑾　学号 2023302610　2026 年 10 月 31 日</w:t>
      </w:r>
    </w:p>
    <w:p>
      <w:pPr>
        <w:pStyle w:val="Heading1"/>
      </w:pPr>
      <w:r>
        <w:t>1. 任务与背景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关键词唤醒（Keyword Spotting, KWS）是智能音箱、手机与车载语音助手常驻运行的第一道判别模块：系统不解析整句内容，只持续判断音频中是否出现特定唤醒词。与语音识别（ASR）相比，KWS 输出的是“是否/哪个关键词”的判别与概率，模型常驻端侧，必须小、快、省电，关键指标也从字错误率（WER）换成了误唤醒率（FAR）、漏唤醒率（FRR）及二者相等的等错误率（EER）。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本作业在 Google Speech Commands v0.01 数据集上从零训练一个约 2 万参数的 DS-CNN 关键词分类器：输入 1 秒 16 kHz 单声道音频，输出 12 类概率（10 个关键词 + unknown + silence）；训练完成后以 yes 为唤醒词评估 FAR/FRR/EER，并完成识别示例、错误分析、消融对比与长音频滑动窗口检测（加分项）。代码基于教师提供的教学代码（kws_code.zip），本人完成全部运行、结果核验、错误分析与报告写作。</w:t>
      </w:r>
    </w:p>
    <w:p>
      <w:pPr>
        <w:pStyle w:val="Heading1"/>
      </w:pPr>
      <w:r>
        <w:t>2. 数据与特征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数据集为 Google Speech Commands v0.01（约 6.5 万条 1 秒英文单词录音，16 kHz 单声道，CC BY 4.0 许可，仅用于课程学习，下载 URL 与校验 MD5 见附录 A）。取 10 个词（yes、no、up、down、left、right、on、off、stop、go）作为关键词，其余 20 个词按固定种子抽样构成 unknown（第 11 类的前身），从 6 个背景噪声文件按 0.5 秒步长切 1 秒片段构成 silence 类，共 12 类。划分严格沿用官方 validation_list.txt / testing_list.txt（按说话人哈希得到，同一说话人只出现在一个集合，测试集是 speaker-disjoint 的），最终训练/验证/测试为 21470 / 3096 / 3307 条，分布汇总见表 1。</w:t>
      </w:r>
    </w:p>
    <w:p>
      <w:pPr>
        <w:pStyle w:val="Caption"/>
        <w:keepNext/>
      </w:pPr>
      <w:r>
        <w:rPr>
          <w:rFonts w:ascii="宋体" w:hAnsi="宋体" w:eastAsia="宋体"/>
          <w:b/>
          <w:color w:val="000000"/>
          <w:sz w:val="21"/>
        </w:rPr>
        <w:t>表 1</w:t>
      </w:r>
      <w:r>
        <w:rPr>
          <w:rFonts w:ascii="宋体" w:hAnsi="宋体" w:eastAsia="宋体"/>
          <w:b w:val="0"/>
          <w:color w:val="000000"/>
          <w:sz w:val="21"/>
        </w:rPr>
        <w:t xml:space="preserve">  Speech Commands 样本分布汇总（条）</w:t>
      </w:r>
    </w:p>
    <w:tbl>
      <w:tblPr>
        <w:jc w:val="center"/>
        <w:tblW w:w="8051" w:type="dxa"/>
        <w:tblLayout w:type="fixed"/>
        <w:tblLook w:val="0000" w:firstRow="0" w:lastRow="0" w:firstColumn="0" w:lastColumn="0" w:noHBand="0" w:noVBand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2608"/>
        <w:gridCol w:w="1814"/>
        <w:gridCol w:w="1814"/>
        <w:gridCol w:w="1814"/>
      </w:tblGrid>
      <w:tr>
        <w:trPr>
          <w:tblHeader w:val="true"/>
        </w:trPr>
        <w:tc>
          <w:tcPr>
            <w:tcW w:type="dxa" w:w="2608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1814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训练集</w:t>
            </w:r>
          </w:p>
        </w:tc>
        <w:tc>
          <w:tcPr>
            <w:tcW w:type="dxa" w:w="1814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验证集</w:t>
            </w:r>
          </w:p>
        </w:tc>
        <w:tc>
          <w:tcPr>
            <w:tcW w:type="dxa" w:w="1814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测试集</w:t>
            </w:r>
          </w:p>
        </w:tc>
      </w:tr>
      <w:tr>
        <w:tc>
          <w:tcPr>
            <w:tcW w:type="dxa" w:w="26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 个关键词合计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18538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2577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2567</w:t>
            </w:r>
          </w:p>
        </w:tc>
      </w:tr>
      <w:tr>
        <w:tc>
          <w:tcPr>
            <w:tcW w:type="dxa" w:w="26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2500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500</w:t>
            </w:r>
          </w:p>
        </w:tc>
      </w:tr>
      <w:tr>
        <w:tc>
          <w:tcPr>
            <w:tcW w:type="dxa" w:w="26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silence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432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119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240</w:t>
            </w:r>
          </w:p>
        </w:tc>
      </w:tr>
      <w:tr>
        <w:tc>
          <w:tcPr>
            <w:tcW w:type="dxa" w:w="26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21470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3096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3307</w:t>
            </w:r>
          </w:p>
        </w:tc>
      </w:tr>
    </w:tbl>
    <w:p>
      <w:pPr>
        <w:spacing w:before="0" w:after="40" w:line="240" w:lineRule="auto"/>
      </w:pPr>
    </w:p>
    <w:p>
      <w:pPr>
        <w:ind w:firstLineChars="200" w:firstLine="480"/>
      </w:pPr>
      <w:r>
        <w:rPr>
          <w:rFonts w:ascii="宋体" w:hAnsi="宋体" w:eastAsia="宋体"/>
          <w:sz w:val="21"/>
        </w:rPr>
        <w:t>特征提取为纯 NumPy 实现的 log-Mel 频谱：25 ms 窗长（400 点）按 10 ms 帧移（160 点）分帧共 98 帧，加 Hann 窗（教师代码调用 np.hanning；指导文档文字写作 Hamming，本文按代码实际实现说明）后做 512 点 FFT 得到 257 维功率谱，经 40 个三角 Mel 滤波器压缩为 40 维，取对数并转置成 40×98 的特征图；归一化使用的均值/标准差只在训练集上统计，避免验证/测试信息泄漏（数据泄漏）。图 1 展示一条 yes 测试样本的波形与 log-Mel 特征：能量集中在 0.3~0.8 秒的低频段，与发音结构一致。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202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eature_ex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2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宋体" w:hAnsi="宋体" w:eastAsia="宋体"/>
          <w:b/>
          <w:color w:val="000000"/>
          <w:sz w:val="21"/>
        </w:rPr>
        <w:t>图 1</w:t>
      </w:r>
      <w:r>
        <w:rPr>
          <w:rFonts w:ascii="宋体" w:hAnsi="宋体" w:eastAsia="宋体"/>
          <w:b w:val="0"/>
          <w:color w:val="000000"/>
          <w:sz w:val="21"/>
        </w:rPr>
        <w:t xml:space="preserve">  测试集一条 yes 样本的波形（上）与 40×98 log-Mel 特征（下）</w:t>
      </w:r>
    </w:p>
    <w:p>
      <w:pPr>
        <w:pStyle w:val="Heading1"/>
      </w:pPr>
      <w:r>
        <w:t>3. 模型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模型为教师教学代码中的小型 DS-CNN（深度可分离卷积网络，Hello Edge 风格），输入 (batch, 1, 40, 98)，结构见表 2。深度可分离卷积把标准 3×3 卷积拆成“逐通道 3×3 depthwise + 1×1 pointwise”两步：以 32→64 通道为例，标准卷积需 3×3×32×64 = 18,432 个参数，深度可分离只需 3×3×32 + 1×1×32×64 = 2,336 个，减少近 8 倍——这是模型能压到约 2 万参数、适合端侧常驻的原因。</w:t>
      </w:r>
    </w:p>
    <w:p>
      <w:pPr>
        <w:pStyle w:val="Caption"/>
        <w:keepNext/>
      </w:pPr>
      <w:r>
        <w:rPr>
          <w:rFonts w:ascii="宋体" w:hAnsi="宋体" w:eastAsia="宋体"/>
          <w:b/>
          <w:color w:val="000000"/>
          <w:sz w:val="21"/>
        </w:rPr>
        <w:t>表 2</w:t>
      </w:r>
      <w:r>
        <w:rPr>
          <w:rFonts w:ascii="宋体" w:hAnsi="宋体" w:eastAsia="宋体"/>
          <w:b w:val="0"/>
          <w:color w:val="000000"/>
          <w:sz w:val="21"/>
        </w:rPr>
        <w:t xml:space="preserve">  DS-CNN 结构（width = 32）</w:t>
      </w:r>
    </w:p>
    <w:tbl>
      <w:tblPr>
        <w:jc w:val="center"/>
        <w:tblW w:w="8164" w:type="dxa"/>
        <w:tblLayout w:type="fixed"/>
        <w:tblLook w:val="0000" w:firstRow="0" w:lastRow="0" w:firstColumn="0" w:lastColumn="0" w:noHBand="0" w:noVBand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2948"/>
        <w:gridCol w:w="2041"/>
        <w:gridCol w:w="3175"/>
      </w:tblGrid>
      <w:tr>
        <w:trPr>
          <w:tblHeader w:val="true"/>
        </w:trPr>
        <w:tc>
          <w:tcPr>
            <w:tcW w:type="dxa" w:w="2948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层</w:t>
            </w:r>
          </w:p>
        </w:tc>
        <w:tc>
          <w:tcPr>
            <w:tcW w:type="dxa" w:w="2041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输出尺寸</w:t>
            </w:r>
          </w:p>
        </w:tc>
        <w:tc>
          <w:tcPr>
            <w:tcW w:type="dxa" w:w="3175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204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(1, 40, 98)</w:t>
            </w:r>
          </w:p>
        </w:tc>
        <w:tc>
          <w:tcPr>
            <w:tcW w:type="dxa" w:w="317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 通道 log-Mel 特征图</w:t>
            </w:r>
          </w:p>
        </w:tc>
      </w:tr>
      <w:tr>
        <w:tc>
          <w:tcPr>
            <w:tcW w:type="dxa" w:w="294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Conv 3×3 + BN + ReLU</w:t>
            </w:r>
          </w:p>
        </w:tc>
        <w:tc>
          <w:tcPr>
            <w:tcW w:type="dxa" w:w="204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(32, 40, 98)</w:t>
            </w:r>
          </w:p>
        </w:tc>
        <w:tc>
          <w:tcPr>
            <w:tcW w:type="dxa" w:w="317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stem，普通卷积升维</w:t>
            </w:r>
          </w:p>
        </w:tc>
      </w:tr>
      <w:tr>
        <w:tc>
          <w:tcPr>
            <w:tcW w:type="dxa" w:w="294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DSBlock 32→32 + MaxPool</w:t>
            </w:r>
          </w:p>
        </w:tc>
        <w:tc>
          <w:tcPr>
            <w:tcW w:type="dxa" w:w="204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(32, 20, 49)</w:t>
            </w:r>
          </w:p>
        </w:tc>
        <w:tc>
          <w:tcPr>
            <w:tcW w:type="dxa" w:w="317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depthwise + pointwise</w:t>
            </w:r>
          </w:p>
        </w:tc>
      </w:tr>
      <w:tr>
        <w:tc>
          <w:tcPr>
            <w:tcW w:type="dxa" w:w="294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DSBlock 32→64 + MaxPool</w:t>
            </w:r>
          </w:p>
        </w:tc>
        <w:tc>
          <w:tcPr>
            <w:tcW w:type="dxa" w:w="204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(64, 10, 24)</w:t>
            </w:r>
          </w:p>
        </w:tc>
        <w:tc>
          <w:tcPr>
            <w:tcW w:type="dxa" w:w="317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94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DSBlock 64→64 + MaxPool</w:t>
            </w:r>
          </w:p>
        </w:tc>
        <w:tc>
          <w:tcPr>
            <w:tcW w:type="dxa" w:w="204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(64, 5, 12)</w:t>
            </w:r>
          </w:p>
        </w:tc>
        <w:tc>
          <w:tcPr>
            <w:tcW w:type="dxa" w:w="317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94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DSBlock 64→128 + MaxPool</w:t>
            </w:r>
          </w:p>
        </w:tc>
        <w:tc>
          <w:tcPr>
            <w:tcW w:type="dxa" w:w="204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(128, 2, 6)</w:t>
            </w:r>
          </w:p>
        </w:tc>
        <w:tc>
          <w:tcPr>
            <w:tcW w:type="dxa" w:w="317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94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GlobalAvgPool + Flatten</w:t>
            </w:r>
          </w:p>
        </w:tc>
        <w:tc>
          <w:tcPr>
            <w:tcW w:type="dxa" w:w="204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(128,)</w:t>
            </w:r>
          </w:p>
        </w:tc>
        <w:tc>
          <w:tcPr>
            <w:tcW w:type="dxa" w:w="317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整图平均为定长向量</w:t>
            </w:r>
          </w:p>
        </w:tc>
      </w:tr>
      <w:tr>
        <w:tc>
          <w:tcPr>
            <w:tcW w:type="dxa" w:w="294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Dropout(0.1) + Linear</w:t>
            </w:r>
          </w:p>
        </w:tc>
        <w:tc>
          <w:tcPr>
            <w:tcW w:type="dxa" w:w="204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(12,)</w:t>
            </w:r>
          </w:p>
        </w:tc>
        <w:tc>
          <w:tcPr>
            <w:tcW w:type="dxa" w:w="317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 类 logits</w:t>
            </w:r>
          </w:p>
        </w:tc>
      </w:tr>
    </w:tbl>
    <w:p>
      <w:pPr>
        <w:spacing w:before="0" w:after="40" w:line="240" w:lineRule="auto"/>
      </w:pPr>
    </w:p>
    <w:p>
      <w:pPr>
        <w:ind w:firstLineChars="200" w:firstLine="480"/>
      </w:pPr>
      <w:r>
        <w:rPr>
          <w:rFonts w:ascii="宋体" w:hAnsi="宋体" w:eastAsia="宋体"/>
          <w:sz w:val="21"/>
        </w:rPr>
        <w:t>本次训练 width=32 的模型共 19.95 K 参数；训练用交叉熵损失，推理取 softmax 概率最大者作为预测类别，同时保留 yes 概率作为唤醒检测分数。</w:t>
      </w:r>
    </w:p>
    <w:p>
      <w:pPr>
        <w:pStyle w:val="Heading1"/>
      </w:pPr>
      <w:r>
        <w:t>4. 训练设置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训练配置见表 3，全部使用教师代码默认值：AdamW 优化器配合余弦退火学习率，数据增强为时间平移（±80 ms）与 SpecAugment（随机遮挡频率/时间块），二者在消融实验中单独关闭以验证作用。模型选择以验证集准确率为准：每个 epoch 结束在验证集评估，仅保存更高的 checkpoint 到 best.pt；测试集只在最终评估一次，不参与任何调参。</w:t>
      </w:r>
    </w:p>
    <w:p>
      <w:pPr>
        <w:pStyle w:val="Caption"/>
        <w:keepNext/>
      </w:pPr>
      <w:r>
        <w:rPr>
          <w:rFonts w:ascii="宋体" w:hAnsi="宋体" w:eastAsia="宋体"/>
          <w:b/>
          <w:color w:val="000000"/>
          <w:sz w:val="21"/>
        </w:rPr>
        <w:t>表 3</w:t>
      </w:r>
      <w:r>
        <w:rPr>
          <w:rFonts w:ascii="宋体" w:hAnsi="宋体" w:eastAsia="宋体"/>
          <w:b w:val="0"/>
          <w:color w:val="000000"/>
          <w:sz w:val="21"/>
        </w:rPr>
        <w:t xml:space="preserve">  训练超参数与固定设置</w:t>
      </w:r>
    </w:p>
    <w:tbl>
      <w:tblPr>
        <w:jc w:val="center"/>
        <w:tblW w:w="8164" w:type="dxa"/>
        <w:tblLayout w:type="fixed"/>
        <w:tblLook w:val="0000" w:firstRow="0" w:lastRow="0" w:firstColumn="0" w:lastColumn="0" w:noHBand="0" w:noVBand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1927"/>
        <w:gridCol w:w="2608"/>
        <w:gridCol w:w="3628"/>
      </w:tblGrid>
      <w:tr>
        <w:trPr>
          <w:tblHeader w:val="true"/>
        </w:trPr>
        <w:tc>
          <w:tcPr>
            <w:tcW w:type="dxa" w:w="1928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2608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取值</w:t>
            </w:r>
          </w:p>
        </w:tc>
        <w:tc>
          <w:tcPr>
            <w:tcW w:type="dxa" w:w="3628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epoch</w:t>
            </w:r>
          </w:p>
        </w:tc>
        <w:tc>
          <w:tcPr>
            <w:tcW w:type="dxa" w:w="26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36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消融另设 20 epoch 对比</w:t>
            </w:r>
          </w:p>
        </w:tc>
      </w:tr>
      <w:t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batch size</w:t>
            </w:r>
          </w:p>
        </w:tc>
        <w:tc>
          <w:tcPr>
            <w:tcW w:type="dxa" w:w="26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36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优化器</w:t>
            </w:r>
          </w:p>
        </w:tc>
        <w:tc>
          <w:tcPr>
            <w:tcW w:type="dxa" w:w="26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AdamW</w:t>
            </w:r>
          </w:p>
        </w:tc>
        <w:tc>
          <w:tcPr>
            <w:tcW w:type="dxa" w:w="36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lr=1e-3，weight_decay=1e-4</w:t>
            </w:r>
          </w:p>
        </w:tc>
      </w:tr>
      <w:t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学习率调度</w:t>
            </w:r>
          </w:p>
        </w:tc>
        <w:tc>
          <w:tcPr>
            <w:tcW w:type="dxa" w:w="26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CosineAnnealingLR</w:t>
            </w:r>
          </w:p>
        </w:tc>
        <w:tc>
          <w:tcPr>
            <w:tcW w:type="dxa" w:w="36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从 1e-3 平滑退火到 0</w:t>
            </w:r>
          </w:p>
        </w:tc>
      </w:tr>
      <w:t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数据增强</w:t>
            </w:r>
          </w:p>
        </w:tc>
        <w:tc>
          <w:tcPr>
            <w:tcW w:type="dxa" w:w="26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时间平移 + SpecAugment</w:t>
            </w:r>
          </w:p>
        </w:tc>
        <w:tc>
          <w:tcPr>
            <w:tcW w:type="dxa" w:w="36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±80 ms 平移；0/1 块频率与时间遮挡</w:t>
            </w:r>
          </w:p>
        </w:tc>
      </w:tr>
      <w:t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随机种子</w:t>
            </w:r>
          </w:p>
        </w:tc>
        <w:tc>
          <w:tcPr>
            <w:tcW w:type="dxa" w:w="26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</w:t>
            </w:r>
          </w:p>
        </w:tc>
        <w:tc>
          <w:tcPr>
            <w:tcW w:type="dxa" w:w="36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torch/numpy/random 统一设置</w:t>
            </w:r>
          </w:p>
        </w:tc>
      </w:tr>
      <w:t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模型选择</w:t>
            </w:r>
          </w:p>
        </w:tc>
        <w:tc>
          <w:tcPr>
            <w:tcW w:type="dxa" w:w="26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验证集准确率最高</w:t>
            </w:r>
          </w:p>
        </w:tc>
        <w:tc>
          <w:tcPr>
            <w:tcW w:type="dxa" w:w="36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保存为 best.pt</w:t>
            </w:r>
          </w:p>
        </w:tc>
      </w:tr>
      <w:t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测试集使用</w:t>
            </w:r>
          </w:p>
        </w:tc>
        <w:tc>
          <w:tcPr>
            <w:tcW w:type="dxa" w:w="26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最终评估一次</w:t>
            </w:r>
          </w:p>
        </w:tc>
        <w:tc>
          <w:tcPr>
            <w:tcW w:type="dxa" w:w="36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不参与调参，speaker-disjoint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t>5. 实验结果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训练 40 个 epoch，最优验证集准确率出现在第 30 轮（94.19%）。在 3307 条测试集上，总体准确率 94.62%，错误 178 条；把 yes 作为唤醒词、其余 11 类作为负类时，ROC-AUC = 0.9992，EER = 1.47%，主要指标见表 4。</w:t>
      </w:r>
    </w:p>
    <w:p>
      <w:pPr>
        <w:pStyle w:val="Caption"/>
        <w:keepNext/>
      </w:pPr>
      <w:r>
        <w:rPr>
          <w:rFonts w:ascii="宋体" w:hAnsi="宋体" w:eastAsia="宋体"/>
          <w:b/>
          <w:color w:val="000000"/>
          <w:sz w:val="21"/>
        </w:rPr>
        <w:t>表 4</w:t>
      </w:r>
      <w:r>
        <w:rPr>
          <w:rFonts w:ascii="宋体" w:hAnsi="宋体" w:eastAsia="宋体"/>
          <w:b w:val="0"/>
          <w:color w:val="000000"/>
          <w:sz w:val="21"/>
        </w:rPr>
        <w:t xml:space="preserve">  测试集主要结果（唤醒词 yes）</w:t>
      </w:r>
    </w:p>
    <w:tbl>
      <w:tblPr>
        <w:jc w:val="center"/>
        <w:tblW w:w="8164" w:type="dxa"/>
        <w:tblLayout w:type="fixed"/>
        <w:tblLook w:val="0000" w:firstRow="0" w:lastRow="0" w:firstColumn="0" w:lastColumn="0" w:noHBand="0" w:noVBand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2268"/>
        <w:gridCol w:w="1814"/>
        <w:gridCol w:w="4082"/>
      </w:tblGrid>
      <w:tr>
        <w:trPr>
          <w:tblHeader w:val="true"/>
        </w:trPr>
        <w:tc>
          <w:tcPr>
            <w:tcW w:type="dxa" w:w="2268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814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数值</w:t>
            </w:r>
          </w:p>
        </w:tc>
        <w:tc>
          <w:tcPr>
            <w:tcW w:type="dxa" w:w="4082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总体准确率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94.62%</w:t>
            </w:r>
          </w:p>
        </w:tc>
        <w:tc>
          <w:tcPr>
            <w:tcW w:type="dxa" w:w="40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3307 条 12 类判别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宏平均 F1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0.9489</w:t>
            </w:r>
          </w:p>
        </w:tc>
        <w:tc>
          <w:tcPr>
            <w:tcW w:type="dxa" w:w="40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 类 F1 的算术平均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ROC-AUC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0.9992</w:t>
            </w:r>
          </w:p>
        </w:tc>
        <w:tc>
          <w:tcPr>
            <w:tcW w:type="dxa" w:w="40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yes 分数的排序能力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EER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1.47%</w:t>
            </w:r>
          </w:p>
        </w:tc>
        <w:tc>
          <w:tcPr>
            <w:tcW w:type="dxa" w:w="40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FAR = FRR 相等处的错误率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FAR=1% 时 FRR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1.95%</w:t>
            </w:r>
          </w:p>
        </w:tc>
        <w:tc>
          <w:tcPr>
            <w:tcW w:type="dxa" w:w="40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允许 1% 误唤醒时的漏唤醒率（实际 FAR 0.82%）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FAR=0.1% 时 FRR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3.52%</w:t>
            </w:r>
          </w:p>
        </w:tc>
        <w:tc>
          <w:tcPr>
            <w:tcW w:type="dxa" w:w="40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更严苛工作点的漏唤醒率（实际 FAR 0.07%）</w:t>
            </w:r>
          </w:p>
        </w:tc>
      </w:tr>
    </w:tbl>
    <w:p>
      <w:pPr>
        <w:spacing w:before="0" w:after="40" w:line="240" w:lineRule="auto"/>
      </w:pP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15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宋体" w:hAnsi="宋体" w:eastAsia="宋体"/>
          <w:b/>
          <w:color w:val="000000"/>
          <w:sz w:val="21"/>
        </w:rPr>
        <w:t>图 2</w:t>
      </w:r>
      <w:r>
        <w:rPr>
          <w:rFonts w:ascii="宋体" w:hAnsi="宋体" w:eastAsia="宋体"/>
          <w:b w:val="0"/>
          <w:color w:val="000000"/>
          <w:sz w:val="21"/>
        </w:rPr>
        <w:t xml:space="preserve">  训练曲线：损失（左）与准确率（右）随 epoch 变化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从分类报告看，召回率最低的三类是 unknown（recall 0.8900）、go（recall 0.9243）、no（recall 0.9246）。图 3 的混淆矩阵显示：错误主要集中在发音相近的短词之间（元音与爆破音相似），unknown 类由 20 个不同单词构成、分散到各个关键词上属于预期行为，silence 中少量片段被识别为元音相近的词。图 4 的 DET 曲线整体贴近左下角，阶梯形态源于正样本仅 256 条的测试集分辨率。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宋体" w:hAnsi="宋体" w:eastAsia="宋体"/>
          <w:b/>
          <w:color w:val="000000"/>
          <w:sz w:val="21"/>
        </w:rPr>
        <w:t>图 3</w:t>
      </w:r>
      <w:r>
        <w:rPr>
          <w:rFonts w:ascii="宋体" w:hAnsi="宋体" w:eastAsia="宋体"/>
          <w:b w:val="0"/>
          <w:color w:val="000000"/>
          <w:sz w:val="21"/>
        </w:rPr>
        <w:t xml:space="preserve">  测试集混淆矩阵（行=真实，列=预测）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60000" cy="278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7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宋体" w:hAnsi="宋体" w:eastAsia="宋体"/>
          <w:b/>
          <w:color w:val="000000"/>
          <w:sz w:val="21"/>
        </w:rPr>
        <w:t>图 4</w:t>
      </w:r>
      <w:r>
        <w:rPr>
          <w:rFonts w:ascii="宋体" w:hAnsi="宋体" w:eastAsia="宋体"/>
          <w:b w:val="0"/>
          <w:color w:val="000000"/>
          <w:sz w:val="21"/>
        </w:rPr>
        <w:t xml:space="preserve">  唤醒词 yes 的 DET 曲线（红点为 EER，绿三角为 FAR=1%/0.1% 工作点）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需要说明的是：本测试集是一条一条孤立的 1 秒单词，这里的 FAR/FRR 是测试集上的等价指标，不能外推为真实产品中“每小时误唤醒几次”的结论；后者需要小时级长音频（见第 8 节加分项）。</w:t>
      </w:r>
    </w:p>
    <w:p>
      <w:pPr>
        <w:pStyle w:val="Heading1"/>
      </w:pPr>
      <w:r>
        <w:t>6. 错误分析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从 misclassified.txt 中按“模型错误置信度”降序挑取 4 条典型案例，图 5 给出它们的波形与 log-Mel 特征对照。分析方法为：对照波形能量分布、元音共振峰条带与摩擦音成分进行谱图检查（未做人耳试听，如实说明）。</w:t>
      </w:r>
    </w:p>
    <w:p>
      <w:pPr>
        <w:ind w:firstLine="0"/>
      </w:pPr>
      <w:r>
        <w:rPr>
          <w:rFonts w:ascii="宋体" w:hAnsi="宋体" w:eastAsia="宋体"/>
          <w:sz w:val="21"/>
        </w:rPr>
        <w:t>案例 1：dog/caf9fceb_nohash_1.wav，真实 unknown，预测 go，预测概率 0.9992。dog 的韵腹为后元音 /ɔː/，与 go 的 /oʊ/ 共振峰结构接近，且起始 /d/ 与 /g/ 同为浊爆破音（仅齿龈与软腭部位之差）；谱图上 0.4~1.0 秒 Mel 0~15 频带的强谐波条带与 go 的元音段高度相似。unknown 本无独立类别，模型只能归入最像的已知关键词，属“合理的错误”。</w:t>
      </w:r>
    </w:p>
    <w:p>
      <w:pPr>
        <w:ind w:firstLine="0"/>
      </w:pPr>
      <w:r>
        <w:rPr>
          <w:rFonts w:ascii="宋体" w:hAnsi="宋体" w:eastAsia="宋体"/>
          <w:sz w:val="21"/>
        </w:rPr>
        <w:t>案例 2：five/9a7c1f83_nohash_3.wav，真实 unknown，预测 right，预测概率 0.9977。five 与 right 共享双元音 /aɪ/：谱图中 Mel 25~35 频带的斜升共振峰过渡叠加低频强能量带，与 right 的韵腹结构几乎一致；差异主要在起始辅音（/f/ 为清摩擦音、能量弱），2 万参数的小模型未能据此区分。</w:t>
      </w:r>
    </w:p>
    <w:p>
      <w:pPr>
        <w:ind w:firstLine="0"/>
      </w:pPr>
      <w:r>
        <w:rPr>
          <w:rFonts w:ascii="宋体" w:hAnsi="宋体" w:eastAsia="宋体"/>
          <w:sz w:val="21"/>
        </w:rPr>
        <w:t>案例 3：down/563aa4e6_nohash_2.wav，真实 down，预测 no，预测概率 0.9976。该样本短促（约 0.3~0.55 秒），down 的 /aʊ/ 向圆唇滑移后的低频结构与 no 的 /oʊ/ 在 Mel 0~15 频带上难以区分，爆破段之后缺乏足以区分的复韵母信息；短元音/爆破音词互混也是参考结果中的主要混淆来源。</w:t>
      </w:r>
    </w:p>
    <w:p>
      <w:pPr>
        <w:ind w:firstLine="0"/>
      </w:pPr>
      <w:r>
        <w:rPr>
          <w:rFonts w:ascii="宋体" w:hAnsi="宋体" w:eastAsia="宋体"/>
          <w:sz w:val="21"/>
        </w:rPr>
        <w:t>案例 4：four/1b4c9b89_nohash_2.wav，真实 unknown，预测 on，预测概率 0.9949。four 的元音 /ɔː(r)/ 与 on 的韵腹同属后元音区域、共振峰位置接近；起始 /f/ 摩擦音能量弱并与元音直接相连，谱图 0.35~0.9 秒的平缓低频能量包络与 on 高度相似，模型以 0.99 的置信度将其归入 on。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其中 unknown 被预测为某个关键词属于“合理的错误”：unknown 本身是其余 20 个词的集合，模型没有学过这些词的独立类别，只能把它们归到最像的已知关键词；这类错误在真实唤醒系统中由“唤醒后接 ASR 二次确认”来兜底。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36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rror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6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宋体" w:hAnsi="宋体" w:eastAsia="宋体"/>
          <w:b/>
          <w:color w:val="000000"/>
          <w:sz w:val="21"/>
        </w:rPr>
        <w:t>图 5</w:t>
      </w:r>
      <w:r>
        <w:rPr>
          <w:rFonts w:ascii="宋体" w:hAnsi="宋体" w:eastAsia="宋体"/>
          <w:b w:val="0"/>
          <w:color w:val="000000"/>
          <w:sz w:val="21"/>
        </w:rPr>
        <w:t xml:space="preserve">  最高置信错误样本的波形与 log-Mel 特征对照（左：波形；右：谱图）</w:t>
      </w:r>
    </w:p>
    <w:p>
      <w:pPr>
        <w:pStyle w:val="Heading1"/>
      </w:pPr>
      <w:r>
        <w:t>7. 消融实验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按“只改一个变量、其余不变”设计四组对比，全部使用同一数据划分、同一测试集与同一评估脚本（协议见附录 A 命令），结果见表 5。</w:t>
      </w:r>
    </w:p>
    <w:p>
      <w:pPr>
        <w:pStyle w:val="Caption"/>
        <w:keepNext/>
      </w:pPr>
      <w:r>
        <w:rPr>
          <w:rFonts w:ascii="宋体" w:hAnsi="宋体" w:eastAsia="宋体"/>
          <w:b/>
          <w:color w:val="000000"/>
          <w:sz w:val="21"/>
        </w:rPr>
        <w:t>表 5</w:t>
      </w:r>
      <w:r>
        <w:rPr>
          <w:rFonts w:ascii="宋体" w:hAnsi="宋体" w:eastAsia="宋体"/>
          <w:b w:val="0"/>
          <w:color w:val="000000"/>
          <w:sz w:val="21"/>
        </w:rPr>
        <w:t xml:space="preserve">  消融实验对比（同一测试集 3307 条）</w:t>
      </w:r>
    </w:p>
    <w:tbl>
      <w:tblPr>
        <w:jc w:val="center"/>
        <w:tblW w:w="8221" w:type="dxa"/>
        <w:tblLayout w:type="fixed"/>
        <w:tblLook w:val="0000" w:firstRow="0" w:lastRow="0" w:firstColumn="0" w:lastColumn="0" w:noHBand="0" w:noVBand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1984"/>
        <w:gridCol w:w="1020"/>
        <w:gridCol w:w="907"/>
        <w:gridCol w:w="1020"/>
        <w:gridCol w:w="1247"/>
        <w:gridCol w:w="1077"/>
        <w:gridCol w:w="963"/>
      </w:tblGrid>
      <w:tr>
        <w:trPr>
          <w:tblHeader w:val="true"/>
        </w:trPr>
        <w:tc>
          <w:tcPr>
            <w:tcW w:type="dxa" w:w="1984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配置</w:t>
            </w:r>
          </w:p>
        </w:tc>
        <w:tc>
          <w:tcPr>
            <w:tcW w:type="dxa" w:w="1020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参数量</w:t>
            </w:r>
          </w:p>
        </w:tc>
        <w:tc>
          <w:tcPr>
            <w:tcW w:type="dxa" w:w="907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轮数</w:t>
            </w:r>
          </w:p>
        </w:tc>
        <w:tc>
          <w:tcPr>
            <w:tcW w:type="dxa" w:w="1020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训练用时</w:t>
            </w:r>
          </w:p>
        </w:tc>
        <w:tc>
          <w:tcPr>
            <w:tcW w:type="dxa" w:w="1247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测试准确率</w:t>
            </w:r>
          </w:p>
        </w:tc>
        <w:tc>
          <w:tcPr>
            <w:tcW w:type="dxa" w:w="1077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宏 F1</w:t>
            </w:r>
          </w:p>
        </w:tc>
        <w:tc>
          <w:tcPr>
            <w:tcW w:type="dxa" w:w="964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EER</w:t>
            </w:r>
          </w:p>
        </w:tc>
      </w:tr>
      <w:tr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基线：40ep+增强(w32)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19.95K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40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3.7min</w:t>
            </w:r>
          </w:p>
        </w:tc>
        <w:tc>
          <w:tcPr>
            <w:tcW w:type="dxa" w:w="124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94.62%</w:t>
            </w:r>
          </w:p>
        </w:tc>
        <w:tc>
          <w:tcPr>
            <w:tcW w:type="dxa" w:w="107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0.9489</w:t>
            </w:r>
          </w:p>
        </w:tc>
        <w:tc>
          <w:tcPr>
            <w:tcW w:type="dxa" w:w="9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1.47%</w:t>
            </w:r>
          </w:p>
        </w:tc>
      </w:tr>
      <w:tr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少训练：20ep+增强(w32)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19.95K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1.8min</w:t>
            </w:r>
          </w:p>
        </w:tc>
        <w:tc>
          <w:tcPr>
            <w:tcW w:type="dxa" w:w="124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93.65%</w:t>
            </w:r>
          </w:p>
        </w:tc>
        <w:tc>
          <w:tcPr>
            <w:tcW w:type="dxa" w:w="107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0.9406</w:t>
            </w:r>
          </w:p>
        </w:tc>
        <w:tc>
          <w:tcPr>
            <w:tcW w:type="dxa" w:w="9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2.72%</w:t>
            </w:r>
          </w:p>
        </w:tc>
      </w:tr>
      <w:tr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无增强：40ep(w32)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19.95K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40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3.5min</w:t>
            </w:r>
          </w:p>
        </w:tc>
        <w:tc>
          <w:tcPr>
            <w:tcW w:type="dxa" w:w="124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93.29%</w:t>
            </w:r>
          </w:p>
        </w:tc>
        <w:tc>
          <w:tcPr>
            <w:tcW w:type="dxa" w:w="107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0.9360</w:t>
            </w:r>
          </w:p>
        </w:tc>
        <w:tc>
          <w:tcPr>
            <w:tcW w:type="dxa" w:w="9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2.13%</w:t>
            </w:r>
          </w:p>
        </w:tc>
      </w:tr>
      <w:tr>
        <w:tc>
          <w:tcPr>
            <w:tcW w:type="dxa" w:w="19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加宽：40ep+增强(w48)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41.44K</w:t>
            </w:r>
          </w:p>
        </w:tc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40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5.4min</w:t>
            </w:r>
          </w:p>
        </w:tc>
        <w:tc>
          <w:tcPr>
            <w:tcW w:type="dxa" w:w="124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95.31%</w:t>
            </w:r>
          </w:p>
        </w:tc>
        <w:tc>
          <w:tcPr>
            <w:tcW w:type="dxa" w:w="107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0.9549</w:t>
            </w:r>
          </w:p>
        </w:tc>
        <w:tc>
          <w:tcPr>
            <w:tcW w:type="dxa" w:w="9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2.10%</w:t>
            </w:r>
          </w:p>
        </w:tc>
      </w:tr>
    </w:tbl>
    <w:p>
      <w:pPr>
        <w:spacing w:before="0" w:after="40" w:line="240" w:lineRule="auto"/>
      </w:pPr>
    </w:p>
    <w:p>
      <w:pPr>
        <w:ind w:firstLineChars="200" w:firstLine="480"/>
      </w:pPr>
      <w:r>
        <w:rPr>
          <w:rFonts w:ascii="宋体" w:hAnsi="宋体" w:eastAsia="宋体"/>
          <w:sz w:val="21"/>
        </w:rPr>
        <w:t>对比结论：训练轮数从 40 降到 20，准确率由 94.62% 降为 93.65%，EER 由 1.47% 升至 2.72%，说明模型尚未完全收敛，多训练仍有收益；关闭数据增强后测试准确率降为 93.29%（EER 2.13%），验证了时间平移与 SpecAugment 对缓解过拟合、稳定测试表现的作用；宽度加大到 48（参数 41.44 K）后 12 类准确率升到 95.31%（四组最高），但 EER 2.10% 反而高于基线的 1.47%。综合来看，基线（width 32）在唤醒检测最关键的 EER 上四组最低；width 48 的 12 类准确率最高但参数约为基线 2.1 倍、EER 未同步改善。结合端侧小模型的定位，保留默认 width 32 配置作为最终交付模型。</w:t>
      </w:r>
    </w:p>
    <w:p>
      <w:pPr>
        <w:pStyle w:val="Heading1"/>
      </w:pPr>
      <w:r>
        <w:t>8. 加分项：长音频唤醒检测与识别示例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真实唤醒是连续监听。detect.py 以 0.25 秒步长在音频上滑 1 秒窗口打分，把连续超过阈值的窗口合并为一组、每组保留最高分作为一次唤醒。对随代码提供的 7 秒示例音频 demo_long.wav（内容为 静音→yes→静音→stop→静音→yes→静音），在 0.5、0.9、0.99 三个阈值下分别检测，结果见表 6。</w:t>
      </w:r>
    </w:p>
    <w:p>
      <w:pPr>
        <w:pStyle w:val="Caption"/>
        <w:keepNext/>
      </w:pPr>
      <w:r>
        <w:rPr>
          <w:rFonts w:ascii="宋体" w:hAnsi="宋体" w:eastAsia="宋体"/>
          <w:b/>
          <w:color w:val="000000"/>
          <w:sz w:val="21"/>
        </w:rPr>
        <w:t>表 6</w:t>
      </w:r>
      <w:r>
        <w:rPr>
          <w:rFonts w:ascii="宋体" w:hAnsi="宋体" w:eastAsia="宋体"/>
          <w:b w:val="0"/>
          <w:color w:val="000000"/>
          <w:sz w:val="21"/>
        </w:rPr>
        <w:t xml:space="preserve">  demo_long.wav 滑动窗口检测的阈值对比（窗口 0.25 s 步长）</w:t>
      </w:r>
    </w:p>
    <w:tbl>
      <w:tblPr>
        <w:jc w:val="center"/>
        <w:tblW w:w="8278" w:type="dxa"/>
        <w:tblLayout w:type="fixed"/>
        <w:tblLook w:val="0000" w:firstRow="0" w:lastRow="0" w:firstColumn="0" w:lastColumn="0" w:noHBand="0" w:noVBand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907"/>
        <w:gridCol w:w="1247"/>
        <w:gridCol w:w="6123"/>
      </w:tblGrid>
      <w:tr>
        <w:trPr>
          <w:tblHeader w:val="true"/>
        </w:trPr>
        <w:tc>
          <w:tcPr>
            <w:tcW w:type="dxa" w:w="907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阈值</w:t>
            </w:r>
          </w:p>
        </w:tc>
        <w:tc>
          <w:tcPr>
            <w:tcW w:type="dxa" w:w="1247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检测次数</w:t>
            </w:r>
          </w:p>
        </w:tc>
        <w:tc>
          <w:tcPr>
            <w:tcW w:type="dxa" w:w="6123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检测时间点与分数</w:t>
            </w:r>
          </w:p>
        </w:tc>
      </w:tr>
      <w:tr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0.5</w:t>
            </w:r>
          </w:p>
        </w:tc>
        <w:tc>
          <w:tcPr>
            <w:tcW w:type="dxa" w:w="124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61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t=1.50s (1.0000)、t=5.50s (1.0000)</w:t>
            </w:r>
          </w:p>
        </w:tc>
      </w:tr>
      <w:tr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0.9</w:t>
            </w:r>
          </w:p>
        </w:tc>
        <w:tc>
          <w:tcPr>
            <w:tcW w:type="dxa" w:w="124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61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t=1.50s (1.0000)、t=5.50s (1.0000)</w:t>
            </w:r>
          </w:p>
        </w:tc>
      </w:tr>
      <w:tr>
        <w:tc>
          <w:tcPr>
            <w:tcW w:type="dxa" w:w="90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0.99</w:t>
            </w:r>
          </w:p>
        </w:tc>
        <w:tc>
          <w:tcPr>
            <w:tcW w:type="dxa" w:w="124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61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52" w:lineRule="auto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t=1.50s (1.0000)、t=5.50s (1.0000)</w:t>
            </w:r>
          </w:p>
        </w:tc>
      </w:tr>
    </w:tbl>
    <w:p>
      <w:pPr>
        <w:spacing w:before="0" w:after="40" w:line="240" w:lineRule="auto"/>
      </w:pP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6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tect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宋体" w:hAnsi="宋体" w:eastAsia="宋体"/>
          <w:b/>
          <w:color w:val="000000"/>
          <w:sz w:val="21"/>
        </w:rPr>
        <w:t>图 6</w:t>
      </w:r>
      <w:r>
        <w:rPr>
          <w:rFonts w:ascii="宋体" w:hAnsi="宋体" w:eastAsia="宋体"/>
          <w:b w:val="0"/>
          <w:color w:val="000000"/>
          <w:sz w:val="21"/>
        </w:rPr>
        <w:t xml:space="preserve">  demo_long.wav 的窗口分数曲线与三个阈值（红三角为阈值 0.9 的检测结果）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本模型对两次 yes 的窗口分数几乎为 1.0、远高于 0.99 的阈值，因此三个阈值下都恰好检出 2 次、无误检，stop 与静音段的分数始终低于 0.5——该段音频上阈值未造成差异；若换成含噪或远场音频，低阈值会开始引入误触发、高阈值则可能漏检（FAR/FRR 权衡的量化见第 5 节 DET 曲线）。这说明孤立测试集上的指标需要与长音频实测互相补充。图 6 中两次 yes 位于约 1.5 s 与 5.5 s，窗口中心时间与指导文档参考值（1.25 s / 5.25 s）相差一个步长，属正常范围。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识别示例方面（指导文档第 7 步），用测试集音频验证：yes/004ae714_nohash_0.wav → yes (99.93%)；stop/004ae714_nohash_0.wav → stop (99.99%)。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自录验证（本人 15 条录音，m4a 经 ffmpeg 转为 16 kHz 单声道 wav）：10 个英文关键词 9 个 top-1 正确，多数置信度接近 1（相对较低：down 0.76、on 0.51）；up→off（0.85） 为唯一误判，该条语音完整落在 1 秒窗口内，与测试集混淆矩阵中 up/off 的互混方向一致，属模型层面混淆；hello→unknown（0.93）、house→unknown（1.00）、中文“是”→unknown（0.99）、中文“停”→unknown（0.89） 全部被归入 unknown 类——unknown 类使没学过的词得到合理处置而非误报为关键词。长录音（11.4 秒，静音→yes→静音→stop→静音→yes→静音）在阈值 0.9 下检出 2 次 yes（t=2.75 s（0.9997）、t=7.25 s（1.0000）），stop 与静音段无误触发；阈值 0.5/0.9/0.99 下分别检出 2/2/2 次。</w:t>
      </w:r>
    </w:p>
    <w:p>
      <w:pPr>
        <w:pStyle w:val="Heading1"/>
      </w:pPr>
      <w:r>
        <w:t>9. 总结与反思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本次大作业走通了“音频 → log-Mel 特征 → 小型 CNN → 训练 → 评估 → 部署/推理”的完整语音应用链路：在 speaker-disjoint 的官方划分上取得 94% 量级的 12 类准确率与 2% 以内的唤醒 EER；消融实验量化了训练轮数、数据增强与模型宽度的贡献；错误分析定位到发音相近词与 unknown 的合理错误。</w:t>
      </w:r>
    </w:p>
    <w:p>
      <w:pPr>
        <w:ind w:firstLineChars="200" w:firstLine="480"/>
      </w:pPr>
      <w:r>
        <w:rPr>
          <w:rFonts w:ascii="宋体" w:hAnsi="宋体" w:eastAsia="宋体"/>
          <w:sz w:val="21"/>
        </w:rPr>
        <w:t>局限与改进方向：其一，FAR/FRR 来自孤立单词测试集，真实误唤醒率需要小时级含噪长音频验证，且应加入加噪训练提升鲁棒性；其二，2 万参数的小模型对远场、口音、混响明显更敏感，可考虑 DS-TCN 等时序结构或流式（streaming）化以降低时延；其三，检测器目前是无平滑的滑动窗口，工程化需要端点检测与双阈值（唤醒/解除）机制。若继续做，会优先在训练中加入背景噪声混合并实现流式检测。</w:t>
      </w:r>
    </w:p>
    <w:p>
      <w:pPr>
        <w:pStyle w:val="Heading1"/>
      </w:pPr>
      <w:r>
        <w:t>参考文献</w:t>
      </w:r>
    </w:p>
    <w:p>
      <w:pPr>
        <w:spacing w:line="276" w:lineRule="auto"/>
        <w:ind w:firstLine="0"/>
      </w:pPr>
      <w:r>
        <w:rPr>
          <w:rFonts w:ascii="宋体" w:hAnsi="宋体" w:eastAsia="宋体"/>
          <w:sz w:val="21"/>
        </w:rPr>
        <w:t>[1] Pete Warden. Speech Commands: A Dataset for Limited-Vocabulary Speech Recognition. arXiv:1804.03209, 2018.</w:t>
      </w:r>
    </w:p>
    <w:p>
      <w:pPr>
        <w:spacing w:line="276" w:lineRule="auto"/>
        <w:ind w:firstLine="0"/>
      </w:pPr>
      <w:r>
        <w:rPr>
          <w:rFonts w:ascii="宋体" w:hAnsi="宋体" w:eastAsia="宋体"/>
          <w:sz w:val="21"/>
        </w:rPr>
        <w:t>[2] Yundong Zhang, Naveen Suda, Liangzhen Lai, Vikas Chandra. Hello Edge: Keyword Spotting on Microcontrollers. arXiv:1711.07128, 2017.</w:t>
      </w:r>
    </w:p>
    <w:p>
      <w:pPr>
        <w:spacing w:line="276" w:lineRule="auto"/>
        <w:ind w:firstLine="0"/>
      </w:pPr>
      <w:r>
        <w:rPr>
          <w:rFonts w:ascii="宋体" w:hAnsi="宋体" w:eastAsia="宋体"/>
          <w:sz w:val="21"/>
        </w:rPr>
        <w:t>[3] Daniel S. Park et al. SpecAugment: A Simple Data Augmentation Method for Automatic Speech Recognition. arXiv:1904.08779, 2019.</w:t>
      </w:r>
    </w:p>
    <w:p>
      <w:pPr>
        <w:spacing w:line="276" w:lineRule="auto"/>
        <w:ind w:firstLine="0"/>
      </w:pPr>
      <w:r>
        <w:rPr>
          <w:rFonts w:ascii="宋体" w:hAnsi="宋体" w:eastAsia="宋体"/>
          <w:sz w:val="21"/>
        </w:rPr>
        <w:t>[4] Andrew G. Howard et al. MobileNets: Efficient Convolutional Neural Networks for Mobile Vision Applications. arXiv:1704.04861, 2017.</w:t>
      </w:r>
    </w:p>
    <w:p>
      <w:pPr>
        <w:spacing w:line="276" w:lineRule="auto"/>
        <w:ind w:firstLine="0"/>
      </w:pPr>
      <w:r>
        <w:rPr>
          <w:rFonts w:ascii="宋体" w:hAnsi="宋体" w:eastAsia="宋体"/>
          <w:sz w:val="21"/>
        </w:rPr>
        <w:t>[5] WeKWS 开源项目. https://github.com/wenet-e2e/wekws.</w:t>
      </w:r>
    </w:p>
    <w:p>
      <w:pPr>
        <w:spacing w:line="276" w:lineRule="auto"/>
        <w:ind w:firstLine="0"/>
      </w:pPr>
      <w:r>
        <w:rPr>
          <w:rFonts w:ascii="宋体" w:hAnsi="宋体" w:eastAsia="宋体"/>
          <w:sz w:val="21"/>
        </w:rPr>
        <w:t>[6] 课程教学代码 kws_code.zip 与《音频大作业指导文档》，2026 年 10 月。</w:t>
      </w:r>
    </w:p>
    <w:p>
      <w:pPr>
        <w:pStyle w:val="Heading1"/>
      </w:pPr>
      <w:r>
        <w:t>附录 A：运行环境与命令</w:t>
      </w:r>
    </w:p>
    <w:p>
      <w:pPr>
        <w:ind w:firstLine="0"/>
      </w:pPr>
      <w:r>
        <w:rPr>
          <w:rFonts w:ascii="宋体" w:hAnsi="宋体" w:eastAsia="宋体"/>
          <w:sz w:val="21"/>
        </w:rPr>
        <w:t>运行环境：Python 3.12.8，PyTorch 2.5.1（CUDA 11.8，NVIDIA GeForce RTX 4060 Laptop GPU），numpy 2.2.6，scipy 1.15.3，scikit-learn 1.6.1，soundfile 0.14.0，matplotlib 3.10.0，tqdm 4.67.1，python-docx 1.2.0；Conda 环境 D:\Anaconda3\envs\pytorch。soundfile 与 python-docx 为本次补装。</w:t>
      </w:r>
    </w:p>
    <w:p>
      <w:pPr>
        <w:ind w:firstLine="0"/>
        <w:jc w:val="left"/>
      </w:pPr>
      <w:r>
        <w:rPr>
          <w:rFonts w:ascii="宋体" w:hAnsi="宋体" w:eastAsia="宋体"/>
          <w:sz w:val="21"/>
        </w:rPr>
        <w:t>数据来源：http://download.tensorflow.org/data/speech_commands_v0.01.tar.gz（MD5 3cd23799cb2bbdec517f1cc028f8d43c，多连接分段下载后校验）。关键命令（均在上述环境的仓库根目录以 python -s 运行）：</w:t>
      </w:r>
    </w:p>
    <w:p>
      <w:pPr>
        <w:pStyle w:val="CodeBlock"/>
      </w:pPr>
      <w:r>
        <w:rPr>
          <w:rFonts w:ascii="Consolas" w:hAnsi="Consolas" w:eastAsia="Consolas"/>
          <w:b w:val="0"/>
          <w:color w:val="000000"/>
          <w:sz w:val="16"/>
        </w:rPr>
        <w:t>python -s prepare_data.py --data_dir E:/MultimediaCourseAssets/speech/data</w:t>
      </w:r>
    </w:p>
    <w:p>
      <w:pPr>
        <w:pStyle w:val="CodeBlock"/>
      </w:pPr>
      <w:r>
        <w:rPr>
          <w:rFonts w:ascii="Consolas" w:hAnsi="Consolas" w:eastAsia="Consolas"/>
          <w:b w:val="0"/>
          <w:color w:val="000000"/>
          <w:sz w:val="16"/>
        </w:rPr>
        <w:t>python -s train.py                     # 基线 40 epoch（runs/）</w:t>
      </w:r>
    </w:p>
    <w:p>
      <w:pPr>
        <w:pStyle w:val="CodeBlock"/>
      </w:pPr>
      <w:r>
        <w:rPr>
          <w:rFonts w:ascii="Consolas" w:hAnsi="Consolas" w:eastAsia="Consolas"/>
          <w:b w:val="0"/>
          <w:color w:val="000000"/>
          <w:sz w:val="16"/>
        </w:rPr>
        <w:t>python -s train.py --epochs 20 --save_dir runs_20</w:t>
      </w:r>
    </w:p>
    <w:p>
      <w:pPr>
        <w:pStyle w:val="CodeBlock"/>
      </w:pPr>
      <w:r>
        <w:rPr>
          <w:rFonts w:ascii="Consolas" w:hAnsi="Consolas" w:eastAsia="Consolas"/>
          <w:b w:val="0"/>
          <w:color w:val="000000"/>
          <w:sz w:val="16"/>
        </w:rPr>
        <w:t>python -s train.py --no_augment --save_dir runs_noaug</w:t>
      </w:r>
    </w:p>
    <w:p>
      <w:pPr>
        <w:pStyle w:val="CodeBlock"/>
      </w:pPr>
      <w:r>
        <w:rPr>
          <w:rFonts w:ascii="Consolas" w:hAnsi="Consolas" w:eastAsia="Consolas"/>
          <w:b w:val="0"/>
          <w:color w:val="000000"/>
          <w:sz w:val="16"/>
        </w:rPr>
        <w:t>python -s train.py --width 48 --save_dir runs_w48</w:t>
      </w:r>
    </w:p>
    <w:p>
      <w:pPr>
        <w:pStyle w:val="CodeBlock"/>
      </w:pPr>
      <w:r>
        <w:rPr>
          <w:rFonts w:ascii="Consolas" w:hAnsi="Consolas" w:eastAsia="Consolas"/>
          <w:b w:val="0"/>
          <w:color w:val="000000"/>
          <w:sz w:val="16"/>
        </w:rPr>
        <w:t>python -s evaluate.py                  # 及各 --checkpoint/--save_dir 组合</w:t>
      </w:r>
    </w:p>
    <w:p>
      <w:pPr>
        <w:pStyle w:val="CodeBlock"/>
      </w:pPr>
      <w:r>
        <w:rPr>
          <w:rFonts w:ascii="Consolas" w:hAnsi="Consolas" w:eastAsia="Consolas"/>
          <w:b w:val="0"/>
          <w:color w:val="000000"/>
          <w:sz w:val="16"/>
        </w:rPr>
        <w:t>python -s detect.py demo_long.wav --target yes --threshold 0.9</w:t>
      </w:r>
    </w:p>
    <w:p>
      <w:pPr>
        <w:pStyle w:val="CodeBlock"/>
      </w:pPr>
      <w:r>
        <w:rPr>
          <w:rFonts w:ascii="Consolas" w:hAnsi="Consolas" w:eastAsia="Consolas"/>
          <w:b w:val="0"/>
          <w:color w:val="000000"/>
          <w:sz w:val="16"/>
        </w:rPr>
        <w:t>python -s speech/scripts/run_inference_suite.py</w:t>
      </w:r>
    </w:p>
    <w:p>
      <w:pPr>
        <w:ind w:firstLine="0"/>
      </w:pPr>
      <w:r>
        <w:rPr>
          <w:rFonts w:ascii="宋体" w:hAnsi="宋体" w:eastAsia="宋体"/>
          <w:sz w:val="21"/>
        </w:rPr>
        <w:t>以上训练与评估均在教师教学代码（kws_code.zip，未改动算法）上实际运行；指标、图表与报告数字均来自 metrics.json 等结果文件。</w:t>
      </w:r>
    </w:p>
    <w:sectPr w:rsidR="00FC693F" w:rsidRPr="0006063C" w:rsidSect="00034616">
      <w:footerReference w:type="default" r:id="rId15"/>
      <w:pgSz w:w="11906" w:h="16838"/>
      <w:pgMar w:top="1440" w:right="1797" w:bottom="1440" w:left="179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  共 </w:t>
    </w:r>
    <w:r>
      <w:fldChar w:fldCharType="begin"/>
      <w:instrText xml:space="preserve"> NUMPAGES 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  <w:jc w:val="both"/>
      <w:ind w:firstLineChars="200" w:firstLine="4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00" w:after="80"/>
      <w:ind w:firstLine="0"/>
      <w:jc w:val="left"/>
      <w:outlineLvl w:val="0"/>
    </w:pPr>
    <w:rPr>
      <w:rFonts w:ascii="楷体" w:hAnsi="楷体" w:eastAsia="楷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1"/>
    </w:pPr>
    <w:rPr>
      <w:rFonts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jc w:val="left"/>
      <w:outlineLvl w:val="2"/>
    </w:pPr>
    <w:rPr>
      <w:rFonts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80" w:after="80"/>
      <w:ind w:firstLine="0"/>
      <w:jc w:val="center"/>
    </w:pPr>
    <w:rPr>
      <w:rFonts w:ascii="宋体" w:hAnsi="宋体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Title">
    <w:name w:val="Transcript Title"/>
    <w:basedOn w:val="Normal"/>
    <w:pPr>
      <w:keepNext/>
      <w:spacing w:before="120" w:after="60"/>
      <w:ind w:firstLine="0"/>
      <w:outlineLvl w:val="9"/>
    </w:pPr>
    <w:rPr>
      <w:rFonts w:ascii="宋体" w:hAnsi="宋体" w:eastAsia="宋体"/>
      <w:b/>
      <w:color w:val="000000"/>
      <w:sz w:val="22"/>
    </w:rPr>
  </w:style>
  <w:style w:type="paragraph" w:customStyle="1" w:styleId="CodeBlock">
    <w:name w:val="Code Block"/>
    <w:basedOn w:val="Normal"/>
    <w:pPr>
      <w:spacing w:line="240" w:lineRule="auto" w:before="0" w:after="0"/>
      <w:ind w:firstLine="0" w:left="142"/>
      <w:jc w:val="left"/>
      <w:shd w:val="clear" w:color="auto" w:fill="F7F7F7"/>
    </w:pPr>
    <w:rPr>
      <w:rFonts w:ascii="Consolas" w:hAnsi="Consolas" w:eastAsia="宋体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多媒体技术语音大作业报告</dc:title>
  <dc:subject>从零训练关键词唤醒模型（KWS）</dc:subject>
  <dc:creator>肖怀瑾</dc:creator>
  <cp:keywords>关键词唤醒；KWS；Speech Commands；DS-CNN；log-Mel</cp:keywords>
  <dc:description/>
  <cp:lastModifiedBy>肖怀瑾</cp:lastModifiedBy>
  <cp:revision>1</cp:revision>
  <dcterms:created xsi:type="dcterms:W3CDTF">2013-12-23T23:15:00Z</dcterms:created>
  <dcterms:modified xsi:type="dcterms:W3CDTF">2013-12-23T23:15:00Z</dcterms:modified>
  <cp:category>课程实验报告</cp:category>
</cp:coreProperties>
</file>