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/>
      </w:pPr>
      <w:r>
        <w:rPr/>
        <w:t>多媒体实验任务书</w:t>
      </w:r>
    </w:p>
    <w:p>
      <w:pPr>
        <w:pStyle w:val="Heading1"/>
        <w:ind w:hanging="0" w:start="0"/>
        <w:rPr/>
      </w:pPr>
      <w:r>
        <w:rPr/>
        <w:t>1 实验概述与共同要求</w:t>
      </w:r>
    </w:p>
    <w:p>
      <w:pPr>
        <w:pStyle w:val="Normal"/>
        <w:rPr>
          <w:b w:val="false"/>
          <w:i w:val="false"/>
        </w:rPr>
      </w:pPr>
      <w:r>
        <w:rPr>
          <w:b w:val="false"/>
          <w:i w:val="false"/>
        </w:rPr>
        <w:t>本课程包括图像检索、视频检索和视频摘要三个实验。完成实验后，应能够解释三项任务的目标、输出形式及局限。</w:t>
      </w:r>
    </w:p>
    <w:tbl>
      <w:tblPr>
        <w:tblW w:w="9706" w:type="dxa"/>
        <w:jc w:val="center"/>
        <w:tblInd w:w="0" w:type="dxa"/>
        <w:tblLayout w:type="fixed"/>
        <w:tblCellMar>
          <w:top w:w="105" w:type="dxa"/>
          <w:start w:w="105" w:type="dxa"/>
          <w:bottom w:w="105" w:type="dxa"/>
          <w:end w:w="105" w:type="dxa"/>
        </w:tblCellMar>
      </w:tblPr>
      <w:tblGrid>
        <w:gridCol w:w="1757"/>
        <w:gridCol w:w="4925"/>
        <w:gridCol w:w="3024"/>
      </w:tblGrid>
      <w:tr>
        <w:trPr>
          <w:tblHeader w:val="true"/>
          <w:cantSplit/>
        </w:trPr>
        <w:tc>
          <w:tcPr>
            <w:tcW w:w="175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7EFF4" w:val="clear"/>
            <w:vAlign w:val="center"/>
          </w:tcPr>
          <w:p>
            <w:pPr>
              <w:pStyle w:val="Normal"/>
              <w:keepNext w:val="true"/>
              <w:spacing w:lineRule="auto" w:line="264" w:before="40" w:after="40"/>
              <w:jc w:val="center"/>
              <w:rPr>
                <w:b/>
                <w:i w:val="false"/>
                <w:sz w:val="20"/>
              </w:rPr>
            </w:pPr>
            <w:r>
              <w:rPr>
                <w:b/>
                <w:i w:val="false"/>
                <w:sz w:val="20"/>
              </w:rPr>
              <w:t>实验</w:t>
            </w:r>
          </w:p>
        </w:tc>
        <w:tc>
          <w:tcPr>
            <w:tcW w:w="492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7EFF4" w:val="clear"/>
            <w:vAlign w:val="center"/>
          </w:tcPr>
          <w:p>
            <w:pPr>
              <w:pStyle w:val="Normal"/>
              <w:keepNext w:val="true"/>
              <w:spacing w:lineRule="auto" w:line="264" w:before="40" w:after="40"/>
              <w:rPr>
                <w:b/>
                <w:i w:val="false"/>
                <w:sz w:val="20"/>
              </w:rPr>
            </w:pPr>
            <w:r>
              <w:rPr>
                <w:b/>
                <w:i w:val="false"/>
                <w:sz w:val="20"/>
              </w:rPr>
              <w:t>主题</w:t>
            </w:r>
          </w:p>
        </w:tc>
        <w:tc>
          <w:tcPr>
            <w:tcW w:w="302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7EFF4" w:val="clear"/>
            <w:vAlign w:val="center"/>
          </w:tcPr>
          <w:p>
            <w:pPr>
              <w:pStyle w:val="Normal"/>
              <w:keepNext w:val="true"/>
              <w:spacing w:lineRule="auto" w:line="264" w:before="40" w:after="40"/>
              <w:jc w:val="center"/>
              <w:rPr>
                <w:b/>
                <w:i w:val="false"/>
                <w:sz w:val="20"/>
              </w:rPr>
            </w:pPr>
            <w:r>
              <w:rPr>
                <w:b/>
                <w:i w:val="false"/>
                <w:sz w:val="20"/>
              </w:rPr>
              <w:t>参考方法</w:t>
            </w:r>
          </w:p>
        </w:tc>
      </w:tr>
      <w:tr>
        <w:trPr>
          <w:cantSplit/>
        </w:trPr>
        <w:tc>
          <w:tcPr>
            <w:tcW w:w="175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keepNext w:val="true"/>
              <w:spacing w:lineRule="auto" w:line="264" w:before="40" w:after="40"/>
              <w:jc w:val="center"/>
              <w:rPr>
                <w:b w:val="false"/>
                <w:i w:val="false"/>
                <w:sz w:val="20"/>
              </w:rPr>
            </w:pPr>
            <w:r>
              <w:rPr>
                <w:b w:val="false"/>
                <w:i w:val="false"/>
                <w:sz w:val="20"/>
              </w:rPr>
              <w:t>实验一</w:t>
            </w:r>
          </w:p>
        </w:tc>
        <w:tc>
          <w:tcPr>
            <w:tcW w:w="492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keepNext w:val="true"/>
              <w:spacing w:lineRule="auto" w:line="264" w:before="40" w:after="40"/>
              <w:rPr>
                <w:b w:val="false"/>
                <w:i w:val="false"/>
                <w:sz w:val="20"/>
              </w:rPr>
            </w:pPr>
            <w:r>
              <w:rPr>
                <w:b w:val="false"/>
                <w:i w:val="false"/>
                <w:sz w:val="20"/>
              </w:rPr>
              <w:t>图像检索</w:t>
            </w:r>
          </w:p>
        </w:tc>
        <w:tc>
          <w:tcPr>
            <w:tcW w:w="302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keepNext w:val="true"/>
              <w:spacing w:lineRule="auto" w:line="264" w:before="40" w:after="40"/>
              <w:jc w:val="center"/>
              <w:rPr>
                <w:b w:val="false"/>
                <w:i w:val="false"/>
                <w:sz w:val="20"/>
              </w:rPr>
            </w:pPr>
            <w:r>
              <w:rPr>
                <w:b w:val="false"/>
                <w:i w:val="false"/>
                <w:sz w:val="20"/>
              </w:rPr>
              <w:t>GeM [1]</w:t>
            </w:r>
          </w:p>
        </w:tc>
      </w:tr>
      <w:tr>
        <w:trPr>
          <w:cantSplit/>
        </w:trPr>
        <w:tc>
          <w:tcPr>
            <w:tcW w:w="175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keepNext w:val="true"/>
              <w:spacing w:lineRule="auto" w:line="264" w:before="40" w:after="40"/>
              <w:jc w:val="center"/>
              <w:rPr>
                <w:b w:val="false"/>
                <w:i w:val="false"/>
                <w:sz w:val="20"/>
              </w:rPr>
            </w:pPr>
            <w:r>
              <w:rPr>
                <w:b w:val="false"/>
                <w:i w:val="false"/>
                <w:sz w:val="20"/>
              </w:rPr>
              <w:t>实验二</w:t>
            </w:r>
          </w:p>
        </w:tc>
        <w:tc>
          <w:tcPr>
            <w:tcW w:w="492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keepNext w:val="true"/>
              <w:spacing w:lineRule="auto" w:line="264" w:before="40" w:after="40"/>
              <w:rPr>
                <w:b w:val="false"/>
                <w:i w:val="false"/>
                <w:sz w:val="20"/>
              </w:rPr>
            </w:pPr>
            <w:r>
              <w:rPr>
                <w:b w:val="false"/>
                <w:i w:val="false"/>
                <w:sz w:val="20"/>
              </w:rPr>
              <w:t>视频检索</w:t>
            </w:r>
          </w:p>
        </w:tc>
        <w:tc>
          <w:tcPr>
            <w:tcW w:w="302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keepNext w:val="true"/>
              <w:spacing w:lineRule="auto" w:line="264" w:before="40" w:after="40"/>
              <w:jc w:val="center"/>
              <w:rPr>
                <w:b w:val="false"/>
                <w:i w:val="false"/>
                <w:sz w:val="20"/>
              </w:rPr>
            </w:pPr>
            <w:r>
              <w:rPr>
                <w:b w:val="false"/>
                <w:i w:val="false"/>
                <w:sz w:val="20"/>
              </w:rPr>
              <w:t>ViSiL [2]</w:t>
            </w:r>
          </w:p>
        </w:tc>
      </w:tr>
      <w:tr>
        <w:trPr>
          <w:cantSplit/>
        </w:trPr>
        <w:tc>
          <w:tcPr>
            <w:tcW w:w="175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keepNext w:val="false"/>
              <w:spacing w:lineRule="auto" w:line="264" w:before="40" w:after="40"/>
              <w:jc w:val="center"/>
              <w:rPr>
                <w:b w:val="false"/>
                <w:i w:val="false"/>
                <w:sz w:val="20"/>
              </w:rPr>
            </w:pPr>
            <w:r>
              <w:rPr>
                <w:b w:val="false"/>
                <w:i w:val="false"/>
                <w:sz w:val="20"/>
              </w:rPr>
              <w:t>实验三</w:t>
            </w:r>
          </w:p>
        </w:tc>
        <w:tc>
          <w:tcPr>
            <w:tcW w:w="492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keepNext w:val="false"/>
              <w:spacing w:lineRule="auto" w:line="264" w:before="40" w:after="40"/>
              <w:rPr>
                <w:b w:val="false"/>
                <w:i w:val="false"/>
                <w:sz w:val="20"/>
              </w:rPr>
            </w:pPr>
            <w:r>
              <w:rPr>
                <w:b w:val="false"/>
                <w:i w:val="false"/>
                <w:sz w:val="20"/>
              </w:rPr>
              <w:t>视频摘要</w:t>
            </w:r>
          </w:p>
        </w:tc>
        <w:tc>
          <w:tcPr>
            <w:tcW w:w="302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keepNext w:val="false"/>
              <w:spacing w:lineRule="auto" w:line="264" w:before="40" w:after="40"/>
              <w:jc w:val="center"/>
              <w:rPr>
                <w:b w:val="false"/>
                <w:i w:val="false"/>
                <w:sz w:val="20"/>
              </w:rPr>
            </w:pPr>
            <w:r>
              <w:rPr>
                <w:b w:val="false"/>
                <w:i w:val="false"/>
                <w:sz w:val="20"/>
              </w:rPr>
              <w:t>DSNet [3]</w:t>
            </w:r>
          </w:p>
        </w:tc>
      </w:tr>
    </w:tbl>
    <w:p>
      <w:pPr>
        <w:pStyle w:val="Normal"/>
        <w:spacing w:lineRule="auto" w:line="72" w:before="0" w:after="40"/>
        <w:rPr/>
      </w:pPr>
      <w:r>
        <w:rPr/>
      </w:r>
    </w:p>
    <w:p>
      <w:pPr>
        <w:pStyle w:val="Style9"/>
        <w:numPr>
          <w:ilvl w:val="0"/>
          <w:numId w:val="7"/>
        </w:numPr>
        <w:rPr/>
      </w:pPr>
      <w:r>
        <w:rPr>
          <w:b w:val="false"/>
          <w:i w:val="false"/>
        </w:rPr>
        <w:t>每位学生须独立完成全部三个实验。</w:t>
      </w:r>
    </w:p>
    <w:p>
      <w:pPr>
        <w:pStyle w:val="Style9"/>
        <w:numPr>
          <w:ilvl w:val="0"/>
          <w:numId w:val="7"/>
        </w:numPr>
        <w:rPr/>
      </w:pPr>
      <w:r>
        <w:rPr>
          <w:b w:val="false"/>
          <w:i w:val="false"/>
        </w:rPr>
        <w:t>数据集可自行选择。下列数据集仅供推荐，也可采用适合相应任务的其他公开数据集。</w:t>
      </w:r>
    </w:p>
    <w:p>
      <w:pPr>
        <w:pStyle w:val="Style9"/>
        <w:numPr>
          <w:ilvl w:val="0"/>
          <w:numId w:val="7"/>
        </w:numPr>
        <w:rPr/>
      </w:pPr>
      <w:r>
        <w:rPr>
          <w:b w:val="false"/>
          <w:i w:val="false"/>
        </w:rPr>
        <w:t>每位学生提交本人实验相关代码，以及一份涵盖三个实验的个人Word报告。</w:t>
      </w:r>
    </w:p>
    <w:p>
      <w:pPr>
        <w:pStyle w:val="Style9"/>
        <w:numPr>
          <w:ilvl w:val="0"/>
          <w:numId w:val="7"/>
        </w:numPr>
        <w:rPr/>
      </w:pPr>
      <w:r>
        <w:rPr>
          <w:b w:val="false"/>
          <w:i w:val="false"/>
        </w:rPr>
        <w:t>注明代码、图片和结果的来源。使用作者代码时，保留原作者署名，并说明本人完成的工作。</w:t>
      </w:r>
    </w:p>
    <w:p>
      <w:pPr>
        <w:pStyle w:val="Style9"/>
        <w:numPr>
          <w:ilvl w:val="0"/>
          <w:numId w:val="7"/>
        </w:numPr>
        <w:rPr/>
      </w:pPr>
      <w:r>
        <w:rPr>
          <w:b w:val="false"/>
          <w:i w:val="false"/>
        </w:rPr>
        <w:t>说明数据来源、规模、划分方式及评价标准。</w:t>
      </w:r>
    </w:p>
    <w:p>
      <w:pPr>
        <w:pStyle w:val="Heading1"/>
        <w:ind w:hanging="0" w:start="0"/>
        <w:rPr/>
      </w:pPr>
      <w:r>
        <w:rPr/>
        <w:t>2 实验一 图像检索</w:t>
      </w:r>
    </w:p>
    <w:p>
      <w:pPr>
        <w:pStyle w:val="Normal"/>
        <w:rPr/>
      </w:pPr>
      <w:r>
        <w:rPr>
          <w:b/>
          <w:i w:val="false"/>
        </w:rPr>
        <w:t>实验目标：</w:t>
      </w:r>
      <w:r>
        <w:rPr>
          <w:b w:val="false"/>
          <w:i w:val="false"/>
        </w:rPr>
        <w:t>给定一张查询图像，从图库中检索同一对象的其他图像，理解视觉差异与检索结果之间的关系。</w:t>
      </w:r>
    </w:p>
    <w:p>
      <w:pPr>
        <w:pStyle w:val="Normal"/>
        <w:rPr/>
      </w:pPr>
      <w:r>
        <w:rPr>
          <w:b/>
          <w:i w:val="false"/>
        </w:rPr>
        <w:t>推荐数据：</w:t>
      </w:r>
      <w:r>
        <w:rPr>
          <w:b w:val="false"/>
          <w:i w:val="false"/>
        </w:rPr>
        <w:t>COIL-100 [4]，或其他公开图像数据集。明确图库与查询集，并说明判断图像相关性的依据。</w:t>
      </w:r>
    </w:p>
    <w:p>
      <w:pPr>
        <w:pStyle w:val="Normal"/>
        <w:rPr/>
      </w:pPr>
      <w:r>
        <w:rPr>
          <w:b/>
          <w:i w:val="false"/>
        </w:rPr>
        <w:t>参考方法：</w:t>
      </w:r>
      <w:r>
        <w:rPr>
          <w:b w:val="false"/>
          <w:i w:val="false"/>
        </w:rPr>
        <w:t>GeM。论文与作者实现见参考文献[1]。</w:t>
      </w:r>
    </w:p>
    <w:p>
      <w:pPr>
        <w:pStyle w:val="Normal"/>
        <w:keepNext w:val="true"/>
        <w:rPr>
          <w:b/>
          <w:i w:val="false"/>
        </w:rPr>
      </w:pPr>
      <w:r>
        <w:rPr>
          <w:b/>
          <w:i w:val="false"/>
        </w:rPr>
        <w:t>实验任务：</w:t>
      </w:r>
    </w:p>
    <w:p>
      <w:pPr>
        <w:pStyle w:val="Style9"/>
        <w:numPr>
          <w:ilvl w:val="0"/>
          <w:numId w:val="7"/>
        </w:numPr>
        <w:rPr/>
      </w:pPr>
      <w:r>
        <w:rPr>
          <w:b w:val="false"/>
          <w:i w:val="false"/>
        </w:rPr>
        <w:t>完成所选查询图像的检索，展示Top-5结果及相应图像标识。</w:t>
      </w:r>
    </w:p>
    <w:p>
      <w:pPr>
        <w:pStyle w:val="Style9"/>
        <w:numPr>
          <w:ilvl w:val="0"/>
          <w:numId w:val="7"/>
        </w:numPr>
        <w:rPr/>
      </w:pPr>
      <w:r>
        <w:rPr>
          <w:b w:val="false"/>
          <w:i w:val="false"/>
        </w:rPr>
        <w:t>报告实际测试的查询数量、每个查询的P@5及平均P@5。P@5表示前5个结果中相关图像的比例，并需说明相关性的判断标准。</w:t>
      </w:r>
    </w:p>
    <w:p>
      <w:pPr>
        <w:pStyle w:val="Style9"/>
        <w:numPr>
          <w:ilvl w:val="0"/>
          <w:numId w:val="7"/>
        </w:numPr>
        <w:rPr/>
      </w:pPr>
      <w:r>
        <w:rPr>
          <w:b w:val="false"/>
          <w:i w:val="false"/>
        </w:rPr>
        <w:t>选择一个成功或失败案例，简要解释其结果，并讨论可能影响检索效果的因素。</w:t>
      </w:r>
    </w:p>
    <w:p>
      <w:pPr>
        <w:pStyle w:val="Normal"/>
        <w:rPr/>
      </w:pPr>
      <w:r>
        <w:rPr>
          <w:b/>
          <w:i w:val="false"/>
        </w:rPr>
        <w:t>实验成果：</w:t>
      </w:r>
      <w:r>
        <w:rPr>
          <w:b w:val="false"/>
          <w:i w:val="false"/>
        </w:rPr>
        <w:t>图像检索代码。Word报告的图像检索部分应包含使用的模型与数据、真实运行结果、Top-5图表、评价结果及案例分析。</w:t>
      </w:r>
    </w:p>
    <w:p>
      <w:pPr>
        <w:pStyle w:val="Heading1"/>
        <w:ind w:hanging="0" w:start="0"/>
        <w:rPr/>
      </w:pPr>
      <w:r>
        <w:rPr/>
        <w:t>3 实验二 视频检索</w:t>
      </w:r>
    </w:p>
    <w:p>
      <w:pPr>
        <w:pStyle w:val="Normal"/>
        <w:rPr/>
      </w:pPr>
      <w:r>
        <w:rPr>
          <w:b/>
          <w:i w:val="false"/>
        </w:rPr>
        <w:t>实验目标：</w:t>
      </w:r>
      <w:r>
        <w:rPr>
          <w:b w:val="false"/>
          <w:i w:val="false"/>
        </w:rPr>
        <w:t>给定一段查询视频，检索包含相同或高度相似视觉内容的候选视频，认识视频检索与单幅图像检索的区别。</w:t>
      </w:r>
    </w:p>
    <w:p>
      <w:pPr>
        <w:pStyle w:val="Normal"/>
        <w:rPr/>
      </w:pPr>
      <w:r>
        <w:rPr>
          <w:b/>
          <w:i w:val="false"/>
        </w:rPr>
        <w:t>推荐数据：</w:t>
      </w:r>
      <w:r>
        <w:rPr>
          <w:b w:val="false"/>
          <w:i w:val="false"/>
        </w:rPr>
        <w:t>可使用公开TVSum素材[5]构建近重复视频检索任务，也可选择其他公开视频数据集。明确查询视频、候选集及相关性标准。TVSum原用于视频摘要，利用其素材构建检索案例属于本实验的任务改编。</w:t>
      </w:r>
    </w:p>
    <w:p>
      <w:pPr>
        <w:pStyle w:val="Normal"/>
        <w:rPr/>
      </w:pPr>
      <w:r>
        <w:rPr>
          <w:b/>
          <w:i w:val="false"/>
        </w:rPr>
        <w:t>参考方法：</w:t>
      </w:r>
      <w:r>
        <w:rPr>
          <w:b w:val="false"/>
          <w:i w:val="false"/>
        </w:rPr>
        <w:t>ViSiL。论文与作者实现见参考文献[2]。</w:t>
      </w:r>
    </w:p>
    <w:p>
      <w:pPr>
        <w:pStyle w:val="Normal"/>
        <w:keepNext w:val="true"/>
        <w:rPr>
          <w:b/>
          <w:i w:val="false"/>
        </w:rPr>
      </w:pPr>
      <w:r>
        <w:rPr>
          <w:b/>
          <w:i w:val="false"/>
        </w:rPr>
        <w:t>实验任务：</w:t>
      </w:r>
    </w:p>
    <w:p>
      <w:pPr>
        <w:pStyle w:val="Style9"/>
        <w:numPr>
          <w:ilvl w:val="0"/>
          <w:numId w:val="7"/>
        </w:numPr>
        <w:rPr/>
      </w:pPr>
      <w:r>
        <w:rPr>
          <w:b w:val="false"/>
          <w:i w:val="false"/>
        </w:rPr>
        <w:t>完成所选查询视频的检索。在报告中展示Top-3候选视频、相似度结果、代表帧及视频标识。</w:t>
      </w:r>
    </w:p>
    <w:p>
      <w:pPr>
        <w:pStyle w:val="Style9"/>
        <w:numPr>
          <w:ilvl w:val="0"/>
          <w:numId w:val="7"/>
        </w:numPr>
        <w:rPr/>
      </w:pPr>
      <w:r>
        <w:rPr>
          <w:b w:val="false"/>
          <w:i w:val="false"/>
        </w:rPr>
        <w:t>根据自行说明的相关性标准，报告每个查询的Top-3是否包含相关视频，同时给出成功查询数及查询总数。</w:t>
      </w:r>
    </w:p>
    <w:p>
      <w:pPr>
        <w:pStyle w:val="Style9"/>
        <w:numPr>
          <w:ilvl w:val="0"/>
          <w:numId w:val="7"/>
        </w:numPr>
        <w:rPr/>
      </w:pPr>
      <w:r>
        <w:rPr>
          <w:b w:val="false"/>
          <w:i w:val="false"/>
        </w:rPr>
        <w:t>选择一对查询与候选视频，展示其帧间相似度可视化，并简要说明它与检索结果的关系。</w:t>
      </w:r>
    </w:p>
    <w:p>
      <w:pPr>
        <w:pStyle w:val="Normal"/>
        <w:rPr/>
      </w:pPr>
      <w:r>
        <w:rPr>
          <w:b/>
          <w:i w:val="false"/>
        </w:rPr>
        <w:t>实验成果：</w:t>
      </w:r>
      <w:r>
        <w:rPr>
          <w:b w:val="false"/>
          <w:i w:val="false"/>
        </w:rPr>
        <w:t>视频检索代码。Word报告的视频检索部分应包含使用的模型与数据、真实运行结果、Top-3图表、命中情况及相似度可视化分析。</w:t>
      </w:r>
    </w:p>
    <w:p>
      <w:pPr>
        <w:pStyle w:val="Heading1"/>
        <w:ind w:hanging="0" w:start="0"/>
        <w:rPr/>
      </w:pPr>
      <w:r>
        <w:rPr/>
        <w:t>4 实验三 视频摘要</w:t>
      </w:r>
    </w:p>
    <w:p>
      <w:pPr>
        <w:pStyle w:val="Normal"/>
        <w:rPr/>
      </w:pPr>
      <w:r>
        <w:rPr>
          <w:b/>
          <w:i w:val="false"/>
        </w:rPr>
        <w:t>实验目标：</w:t>
      </w:r>
      <w:r>
        <w:rPr>
          <w:b w:val="false"/>
          <w:i w:val="false"/>
        </w:rPr>
        <w:t>为一段完整视频生成简短的抽取式摘要，并评价摘要对原视频主要内容的保留情况。</w:t>
      </w:r>
    </w:p>
    <w:p>
      <w:pPr>
        <w:pStyle w:val="Normal"/>
        <w:rPr/>
      </w:pPr>
      <w:r>
        <w:rPr>
          <w:b/>
          <w:i w:val="false"/>
        </w:rPr>
        <w:t>推荐数据：</w:t>
      </w:r>
      <w:r>
        <w:rPr>
          <w:b w:val="false"/>
          <w:i w:val="false"/>
        </w:rPr>
        <w:t>TVSum [5]，或其他公开视频数据集。选择1段完整视频进行实验。本实验独立完成，不以实验二的检索结果作为输入。</w:t>
      </w:r>
    </w:p>
    <w:p>
      <w:pPr>
        <w:pStyle w:val="Normal"/>
        <w:rPr/>
      </w:pPr>
      <w:r>
        <w:rPr>
          <w:b/>
          <w:i w:val="false"/>
        </w:rPr>
        <w:t>参考方法：</w:t>
      </w:r>
      <w:r>
        <w:rPr>
          <w:b w:val="false"/>
          <w:i w:val="false"/>
        </w:rPr>
        <w:t>DSNet的无锚框预训练版本。论文与作者实现见参考文献[3]。</w:t>
      </w:r>
    </w:p>
    <w:p>
      <w:pPr>
        <w:pStyle w:val="Normal"/>
        <w:keepNext w:val="true"/>
        <w:rPr>
          <w:b/>
          <w:i w:val="false"/>
        </w:rPr>
      </w:pPr>
      <w:r>
        <w:rPr>
          <w:b/>
          <w:i w:val="false"/>
        </w:rPr>
        <w:t>实验任务：</w:t>
      </w:r>
    </w:p>
    <w:p>
      <w:pPr>
        <w:pStyle w:val="Style9"/>
        <w:numPr>
          <w:ilvl w:val="0"/>
          <w:numId w:val="7"/>
        </w:numPr>
        <w:rPr/>
      </w:pPr>
      <w:r>
        <w:rPr>
          <w:b w:val="false"/>
          <w:i w:val="false"/>
        </w:rPr>
        <w:t>为所选视频生成一段可播放的抽取式摘要，用于展示与检查。</w:t>
      </w:r>
    </w:p>
    <w:p>
      <w:pPr>
        <w:pStyle w:val="Style9"/>
        <w:numPr>
          <w:ilvl w:val="0"/>
          <w:numId w:val="7"/>
        </w:numPr>
        <w:rPr/>
      </w:pPr>
      <w:r>
        <w:rPr>
          <w:b w:val="false"/>
          <w:i w:val="false"/>
        </w:rPr>
        <w:t>摘要长度不超过原视频的15%，以选中帧数除以原视频总帧数计算。保留所选片段的原有时间顺序，生成不含音频的MP4视频。</w:t>
      </w:r>
    </w:p>
    <w:p>
      <w:pPr>
        <w:pStyle w:val="Style9"/>
        <w:numPr>
          <w:ilvl w:val="0"/>
          <w:numId w:val="7"/>
        </w:numPr>
        <w:rPr/>
      </w:pPr>
      <w:r>
        <w:rPr>
          <w:b w:val="false"/>
          <w:i w:val="false"/>
        </w:rPr>
        <w:t>展示所选片段的时间信息及摘要长度比例，并保留模型的真实运行结果。</w:t>
      </w:r>
    </w:p>
    <w:p>
      <w:pPr>
        <w:pStyle w:val="Style9"/>
        <w:numPr>
          <w:ilvl w:val="0"/>
          <w:numId w:val="7"/>
        </w:numPr>
        <w:rPr/>
      </w:pPr>
      <w:r>
        <w:rPr>
          <w:b w:val="false"/>
          <w:i w:val="false"/>
        </w:rPr>
        <w:t>简要评价摘要保留了哪些内容、可能遗漏哪些内容，并指出一项局限。</w:t>
      </w:r>
    </w:p>
    <w:p>
      <w:pPr>
        <w:pStyle w:val="Normal"/>
        <w:rPr/>
      </w:pPr>
      <w:r>
        <w:rPr>
          <w:b/>
          <w:i w:val="false"/>
        </w:rPr>
        <w:t>实验成果：</w:t>
      </w:r>
      <w:r>
        <w:rPr>
          <w:b w:val="false"/>
          <w:i w:val="false"/>
        </w:rPr>
        <w:t>视频摘要代码。Word报告的视频摘要部分应包含使用的模型与数据、真实运行结果、摘要代表帧、所选片段的时间信息、长度比例及摘要评价。实验过程中生成并检查摘要视频，将其保留在本地，无须作为单独文件提交。</w:t>
      </w:r>
    </w:p>
    <w:p>
      <w:pPr>
        <w:pStyle w:val="Heading1"/>
        <w:ind w:hanging="0" w:start="0"/>
        <w:rPr/>
      </w:pPr>
      <w:r>
        <w:rPr/>
        <w:t>5 实验提交</w:t>
      </w:r>
    </w:p>
    <w:p>
      <w:pPr>
        <w:pStyle w:val="Normal"/>
        <w:rPr>
          <w:b w:val="false"/>
          <w:i w:val="false"/>
        </w:rPr>
      </w:pPr>
      <w:r>
        <w:rPr>
          <w:b w:val="false"/>
          <w:i w:val="false"/>
        </w:rPr>
        <w:t>每位学生独立提交以下两类材料：</w:t>
      </w:r>
    </w:p>
    <w:tbl>
      <w:tblPr>
        <w:tblW w:w="9706" w:type="dxa"/>
        <w:jc w:val="center"/>
        <w:tblInd w:w="0" w:type="dxa"/>
        <w:tblLayout w:type="fixed"/>
        <w:tblCellMar>
          <w:top w:w="105" w:type="dxa"/>
          <w:start w:w="105" w:type="dxa"/>
          <w:bottom w:w="105" w:type="dxa"/>
          <w:end w:w="105" w:type="dxa"/>
        </w:tblCellMar>
      </w:tblPr>
      <w:tblGrid>
        <w:gridCol w:w="2376"/>
        <w:gridCol w:w="7330"/>
      </w:tblGrid>
      <w:tr>
        <w:trPr>
          <w:tblHeader w:val="true"/>
          <w:cantSplit/>
        </w:trPr>
        <w:tc>
          <w:tcPr>
            <w:tcW w:w="237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7EFF4" w:val="clear"/>
            <w:vAlign w:val="center"/>
          </w:tcPr>
          <w:p>
            <w:pPr>
              <w:pStyle w:val="Normal"/>
              <w:keepNext w:val="true"/>
              <w:spacing w:lineRule="auto" w:line="264" w:before="40" w:after="40"/>
              <w:rPr>
                <w:b/>
                <w:i w:val="false"/>
                <w:sz w:val="20"/>
              </w:rPr>
            </w:pPr>
            <w:r>
              <w:rPr>
                <w:b/>
                <w:i w:val="false"/>
                <w:sz w:val="20"/>
              </w:rPr>
              <w:t>提交材料</w:t>
            </w:r>
          </w:p>
        </w:tc>
        <w:tc>
          <w:tcPr>
            <w:tcW w:w="733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7EFF4" w:val="clear"/>
            <w:vAlign w:val="center"/>
          </w:tcPr>
          <w:p>
            <w:pPr>
              <w:pStyle w:val="Normal"/>
              <w:keepNext w:val="true"/>
              <w:spacing w:lineRule="auto" w:line="264" w:before="40" w:after="40"/>
              <w:rPr>
                <w:b/>
                <w:i w:val="false"/>
                <w:sz w:val="20"/>
              </w:rPr>
            </w:pPr>
            <w:r>
              <w:rPr>
                <w:b/>
                <w:i w:val="false"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w="237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keepNext w:val="true"/>
              <w:spacing w:lineRule="auto" w:line="264" w:before="40" w:after="40"/>
              <w:rPr>
                <w:b w:val="false"/>
                <w:i w:val="false"/>
                <w:sz w:val="20"/>
              </w:rPr>
            </w:pPr>
            <w:r>
              <w:rPr>
                <w:b w:val="false"/>
                <w:i w:val="false"/>
                <w:sz w:val="20"/>
              </w:rPr>
              <w:t>实验相关代码</w:t>
            </w:r>
          </w:p>
        </w:tc>
        <w:tc>
          <w:tcPr>
            <w:tcW w:w="733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keepNext w:val="true"/>
              <w:spacing w:lineRule="auto" w:line="264" w:before="40" w:after="40"/>
              <w:rPr>
                <w:b w:val="false"/>
                <w:i w:val="false"/>
                <w:sz w:val="20"/>
              </w:rPr>
            </w:pPr>
            <w:r>
              <w:rPr>
                <w:b w:val="false"/>
                <w:i w:val="false"/>
                <w:sz w:val="20"/>
              </w:rPr>
              <w:t>包含三个实验的代码、必要的运行说明及依赖信息。代码组织方式自定，可提交整理后的文件夹或打包文件。</w:t>
            </w:r>
          </w:p>
        </w:tc>
      </w:tr>
      <w:tr>
        <w:trPr>
          <w:cantSplit/>
        </w:trPr>
        <w:tc>
          <w:tcPr>
            <w:tcW w:w="237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keepNext w:val="false"/>
              <w:spacing w:lineRule="auto" w:line="264" w:before="40" w:after="40"/>
              <w:rPr>
                <w:b w:val="false"/>
                <w:i w:val="false"/>
                <w:sz w:val="20"/>
              </w:rPr>
            </w:pPr>
            <w:r>
              <w:rPr>
                <w:b w:val="false"/>
                <w:i w:val="false"/>
                <w:sz w:val="20"/>
              </w:rPr>
              <w:t>一份Word实验报告（.docx）</w:t>
            </w:r>
          </w:p>
        </w:tc>
        <w:tc>
          <w:tcPr>
            <w:tcW w:w="733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keepNext w:val="false"/>
              <w:spacing w:lineRule="auto" w:line="264" w:before="40" w:after="40"/>
              <w:rPr>
                <w:b w:val="false"/>
                <w:i w:val="false"/>
                <w:sz w:val="20"/>
              </w:rPr>
            </w:pPr>
            <w:r>
              <w:rPr>
                <w:b w:val="false"/>
                <w:i w:val="false"/>
                <w:sz w:val="20"/>
              </w:rPr>
              <w:t>涵盖本人完成的三个实验，包括数据与方法、结果、分析及参考文献。字数和页数不限。</w:t>
            </w:r>
          </w:p>
        </w:tc>
      </w:tr>
    </w:tbl>
    <w:p>
      <w:pPr>
        <w:pStyle w:val="Normal"/>
        <w:spacing w:lineRule="auto" w:line="72" w:before="0" w:after="40"/>
        <w:rPr/>
      </w:pPr>
      <w:r>
        <w:rPr/>
      </w:r>
    </w:p>
    <w:p>
      <w:pPr>
        <w:pStyle w:val="Normal"/>
        <w:rPr>
          <w:b w:val="false"/>
          <w:i w:val="false"/>
        </w:rPr>
      </w:pPr>
      <w:r>
        <w:rPr>
          <w:b w:val="false"/>
          <w:i w:val="false"/>
        </w:rPr>
        <w:t>将结果图、相似度可视化、表格及代表帧直接放入Word文档，配以适当标题和说明，使报告可以独立阅读。不得仅用外部文件链接代替图表。</w:t>
      </w:r>
    </w:p>
    <w:p>
      <w:pPr>
        <w:pStyle w:val="Normal"/>
        <w:rPr/>
      </w:pPr>
      <w:r>
        <w:rPr>
          <w:b/>
          <w:i w:val="false"/>
        </w:rPr>
        <w:t>不提交数据集、模型权重或特征缓存。在报告中注明数据与预训练资源的来源。</w:t>
      </w:r>
      <w:r>
        <w:rPr>
          <w:b w:val="false"/>
          <w:i w:val="false"/>
        </w:rPr>
      </w:r>
    </w:p>
    <w:p>
      <w:pPr>
        <w:pStyle w:val="Heading1"/>
        <w:ind w:hanging="0" w:start="0"/>
        <w:rPr/>
      </w:pPr>
      <w:r>
        <w:rPr/>
        <w:t>6 参考方法与文献</w:t>
      </w:r>
    </w:p>
    <w:p>
      <w:pPr>
        <w:pStyle w:val="Heading2"/>
        <w:ind w:hanging="0" w:start="0"/>
        <w:rPr/>
      </w:pPr>
      <w:r>
        <w:rPr/>
        <w:t>1 图像检索 GeM</w:t>
      </w:r>
    </w:p>
    <w:p>
      <w:pPr>
        <w:pStyle w:val="Normal"/>
        <w:keepNext w:val="true"/>
        <w:spacing w:before="0" w:after="100"/>
        <w:rPr/>
      </w:pPr>
      <w:r>
        <w:rPr>
          <w:b w:val="false"/>
          <w:i w:val="false"/>
        </w:rPr>
        <w:t xml:space="preserve">Radenović, F., Tolias, G., &amp; Chum, O. (2019). </w:t>
      </w:r>
      <w:r>
        <w:rPr>
          <w:b w:val="false"/>
          <w:i/>
        </w:rPr>
        <w:t>Fine-Tuning CNN Image Retrieval with No Human Annotation</w:t>
      </w:r>
      <w:r>
        <w:rPr>
          <w:b w:val="false"/>
          <w:i w:val="false"/>
        </w:rPr>
        <w:t>. IEEE Transactions on Pattern Analysis and Machine Intelligence, 41(7), 1655–1668.</w:t>
      </w:r>
    </w:p>
    <w:p>
      <w:pPr>
        <w:pStyle w:val="Normal"/>
        <w:keepNext w:val="false"/>
        <w:spacing w:before="0" w:after="100"/>
        <w:rPr/>
      </w:pPr>
      <w:hyperlink r:id="rId2">
        <w:r>
          <w:rPr>
            <w:rStyle w:val="Hyperlink"/>
            <w:rFonts w:eastAsia="Heiti SC" w:cs="Arial"/>
            <w:color w:val="174B70"/>
            <w:u w:val="single"/>
          </w:rPr>
          <w:t>论文</w:t>
        </w:r>
      </w:hyperlink>
      <w:r>
        <w:rPr>
          <w:b w:val="false"/>
          <w:i w:val="false"/>
        </w:rPr>
        <w:t xml:space="preserve"> · </w:t>
      </w:r>
      <w:hyperlink r:id="rId3">
        <w:r>
          <w:rPr>
            <w:rStyle w:val="Hyperlink"/>
            <w:rFonts w:eastAsia="Heiti SC" w:cs="Arial"/>
            <w:color w:val="174B70"/>
            <w:u w:val="single"/>
          </w:rPr>
          <w:t>DOI</w:t>
        </w:r>
      </w:hyperlink>
      <w:r>
        <w:rPr>
          <w:b w:val="false"/>
          <w:i w:val="false"/>
        </w:rPr>
        <w:t xml:space="preserve"> · </w:t>
      </w:r>
      <w:hyperlink r:id="rId4">
        <w:r>
          <w:rPr>
            <w:rStyle w:val="Hyperlink"/>
            <w:rFonts w:eastAsia="Heiti SC" w:cs="Arial"/>
            <w:color w:val="174B70"/>
            <w:u w:val="single"/>
          </w:rPr>
          <w:t>作者实现与预训练资源</w:t>
        </w:r>
      </w:hyperlink>
    </w:p>
    <w:p>
      <w:pPr>
        <w:pStyle w:val="Heading2"/>
        <w:ind w:hanging="0" w:start="0"/>
        <w:rPr/>
      </w:pPr>
      <w:r>
        <w:rPr/>
        <w:t>2 视频检索 ViSiL</w:t>
      </w:r>
    </w:p>
    <w:p>
      <w:pPr>
        <w:pStyle w:val="Normal"/>
        <w:keepNext w:val="true"/>
        <w:spacing w:before="0" w:after="100"/>
        <w:rPr/>
      </w:pPr>
      <w:r>
        <w:rPr>
          <w:b w:val="false"/>
          <w:i w:val="false"/>
        </w:rPr>
        <w:t xml:space="preserve">Kordopatis-Zilos, G., Papadopoulos, S., Patras, I., &amp; Kompatsiaris, I. (2019). </w:t>
      </w:r>
      <w:r>
        <w:rPr>
          <w:b w:val="false"/>
          <w:i/>
        </w:rPr>
        <w:t>ViSiL: Fine-grained Spatio-Temporal Video Similarity Learning</w:t>
      </w:r>
      <w:r>
        <w:rPr>
          <w:b w:val="false"/>
          <w:i w:val="false"/>
        </w:rPr>
        <w:t>. Proceedings of the IEEE/CVF International Conference on Computer Vision, 6351–6360.</w:t>
      </w:r>
    </w:p>
    <w:p>
      <w:pPr>
        <w:pStyle w:val="Normal"/>
        <w:keepNext w:val="false"/>
        <w:spacing w:before="0" w:after="100"/>
        <w:rPr/>
      </w:pPr>
      <w:hyperlink r:id="rId5">
        <w:r>
          <w:rPr>
            <w:rStyle w:val="Hyperlink"/>
            <w:rFonts w:eastAsia="Heiti SC" w:cs="Arial"/>
            <w:color w:val="174B70"/>
            <w:u w:val="single"/>
          </w:rPr>
          <w:t>论文</w:t>
        </w:r>
      </w:hyperlink>
      <w:r>
        <w:rPr>
          <w:b w:val="false"/>
          <w:i w:val="false"/>
        </w:rPr>
        <w:t xml:space="preserve"> · </w:t>
      </w:r>
      <w:hyperlink r:id="rId6">
        <w:r>
          <w:rPr>
            <w:rStyle w:val="Hyperlink"/>
            <w:rFonts w:eastAsia="Heiti SC" w:cs="Arial"/>
            <w:color w:val="174B70"/>
            <w:u w:val="single"/>
          </w:rPr>
          <w:t>作者实现与预训练资源</w:t>
        </w:r>
      </w:hyperlink>
    </w:p>
    <w:p>
      <w:pPr>
        <w:pStyle w:val="Heading2"/>
        <w:ind w:hanging="0" w:start="0"/>
        <w:rPr/>
      </w:pPr>
      <w:r>
        <w:rPr/>
        <w:t>3 视频摘要 DSNet</w:t>
      </w:r>
    </w:p>
    <w:p>
      <w:pPr>
        <w:pStyle w:val="Normal"/>
        <w:keepNext w:val="true"/>
        <w:spacing w:before="0" w:after="100"/>
        <w:rPr/>
      </w:pPr>
      <w:r>
        <w:rPr>
          <w:b w:val="false"/>
          <w:i w:val="false"/>
        </w:rPr>
        <w:t xml:space="preserve">Zhu, W., Lu, J., Li, J., &amp; Zhou, J. (2021). </w:t>
      </w:r>
      <w:r>
        <w:rPr>
          <w:b w:val="false"/>
          <w:i/>
        </w:rPr>
        <w:t>DSNet: A Flexible Detect-to-Summarize Network for Video Summarization</w:t>
      </w:r>
      <w:r>
        <w:rPr>
          <w:b w:val="false"/>
          <w:i w:val="false"/>
        </w:rPr>
        <w:t>. IEEE Transactions on Image Processing, 30, 948–962.</w:t>
      </w:r>
    </w:p>
    <w:p>
      <w:pPr>
        <w:pStyle w:val="Normal"/>
        <w:keepNext w:val="false"/>
        <w:spacing w:before="0" w:after="100"/>
        <w:rPr/>
      </w:pPr>
      <w:hyperlink r:id="rId7">
        <w:r>
          <w:rPr>
            <w:rStyle w:val="Hyperlink"/>
            <w:rFonts w:eastAsia="Heiti SC" w:cs="Arial"/>
            <w:color w:val="174B70"/>
            <w:u w:val="single"/>
          </w:rPr>
          <w:t>论文</w:t>
        </w:r>
      </w:hyperlink>
      <w:r>
        <w:rPr>
          <w:b w:val="false"/>
          <w:i w:val="false"/>
        </w:rPr>
        <w:t xml:space="preserve"> · </w:t>
      </w:r>
      <w:hyperlink r:id="rId8">
        <w:r>
          <w:rPr>
            <w:rStyle w:val="Hyperlink"/>
            <w:rFonts w:eastAsia="Heiti SC" w:cs="Arial"/>
            <w:color w:val="174B70"/>
            <w:u w:val="single"/>
          </w:rPr>
          <w:t>DOI</w:t>
        </w:r>
      </w:hyperlink>
      <w:r>
        <w:rPr>
          <w:b w:val="false"/>
          <w:i w:val="false"/>
        </w:rPr>
        <w:t xml:space="preserve"> · </w:t>
      </w:r>
      <w:hyperlink r:id="rId9">
        <w:r>
          <w:rPr>
            <w:rStyle w:val="Hyperlink"/>
            <w:rFonts w:eastAsia="Heiti SC" w:cs="Arial"/>
            <w:color w:val="174B70"/>
            <w:u w:val="single"/>
          </w:rPr>
          <w:t>作者实现、预训练模型与特征数据</w:t>
        </w:r>
      </w:hyperlink>
    </w:p>
    <w:p>
      <w:pPr>
        <w:pStyle w:val="Heading2"/>
        <w:ind w:hanging="0" w:start="0"/>
        <w:rPr/>
      </w:pPr>
      <w:r>
        <w:rPr/>
        <w:t>4 图像数据 COIL-100</w:t>
      </w:r>
    </w:p>
    <w:p>
      <w:pPr>
        <w:pStyle w:val="Normal"/>
        <w:keepNext w:val="true"/>
        <w:spacing w:before="0" w:after="100"/>
        <w:rPr/>
      </w:pPr>
      <w:r>
        <w:rPr>
          <w:b w:val="false"/>
          <w:i w:val="false"/>
        </w:rPr>
        <w:t xml:space="preserve">Nene, S. A., Nayar, S. K., &amp; Murase, H. (1996). </w:t>
      </w:r>
      <w:r>
        <w:rPr>
          <w:b w:val="false"/>
          <w:i/>
        </w:rPr>
        <w:t>Columbia Object Image Library (COIL-100)</w:t>
      </w:r>
      <w:r>
        <w:rPr>
          <w:b w:val="false"/>
          <w:i w:val="false"/>
        </w:rPr>
        <w:t>. Technical Report CUCS-006-96.</w:t>
      </w:r>
    </w:p>
    <w:p>
      <w:pPr>
        <w:pStyle w:val="Normal"/>
        <w:keepNext w:val="false"/>
        <w:spacing w:before="0" w:after="100"/>
        <w:rPr/>
      </w:pPr>
      <w:hyperlink r:id="rId10">
        <w:r>
          <w:rPr>
            <w:rStyle w:val="Hyperlink"/>
            <w:rFonts w:eastAsia="Heiti SC" w:cs="Arial"/>
            <w:color w:val="174B70"/>
            <w:u w:val="single"/>
          </w:rPr>
          <w:t>官方数据与技术报告</w:t>
        </w:r>
      </w:hyperlink>
    </w:p>
    <w:p>
      <w:pPr>
        <w:pStyle w:val="Heading2"/>
        <w:ind w:hanging="0" w:start="0"/>
        <w:rPr/>
      </w:pPr>
      <w:r>
        <w:rPr/>
        <w:t>5 视频数据 TVSum</w:t>
      </w:r>
    </w:p>
    <w:p>
      <w:pPr>
        <w:pStyle w:val="Normal"/>
        <w:keepNext w:val="true"/>
        <w:spacing w:before="0" w:after="100"/>
        <w:rPr/>
      </w:pPr>
      <w:r>
        <w:rPr>
          <w:b w:val="false"/>
          <w:i w:val="false"/>
        </w:rPr>
        <w:t xml:space="preserve">Song, Y., Vallmitjana, J., Stent, A., &amp; Jaimes, A. (2015). </w:t>
      </w:r>
      <w:r>
        <w:rPr>
          <w:b w:val="false"/>
          <w:i/>
        </w:rPr>
        <w:t>TVSum: Summarizing Web Videos Using Titles</w:t>
      </w:r>
      <w:r>
        <w:rPr>
          <w:b w:val="false"/>
          <w:i w:val="false"/>
        </w:rPr>
        <w:t>. Proceedings of the IEEE Conference on Computer Vision and Pattern Recognition, 5179–5187.</w:t>
      </w:r>
    </w:p>
    <w:p>
      <w:pPr>
        <w:pStyle w:val="Normal"/>
        <w:keepNext w:val="false"/>
        <w:spacing w:before="0" w:after="100"/>
        <w:rPr/>
      </w:pPr>
      <w:hyperlink r:id="rId11">
        <w:r>
          <w:rPr>
            <w:rStyle w:val="Hyperlink"/>
            <w:rFonts w:eastAsia="Heiti SC" w:cs="Arial"/>
            <w:color w:val="174B70"/>
            <w:u w:val="single"/>
          </w:rPr>
          <w:t>论文</w:t>
        </w:r>
      </w:hyperlink>
      <w:r>
        <w:rPr>
          <w:b w:val="false"/>
          <w:i w:val="false"/>
        </w:rPr>
        <w:t xml:space="preserve"> · </w:t>
      </w:r>
      <w:hyperlink r:id="rId12">
        <w:r>
          <w:rPr>
            <w:rStyle w:val="Hyperlink"/>
            <w:rFonts w:eastAsia="Heiti SC" w:cs="Arial"/>
            <w:color w:val="174B70"/>
            <w:u w:val="single"/>
          </w:rPr>
          <w:t>作者数据仓库</w:t>
        </w:r>
      </w:hyperlink>
      <w:r>
        <w:rPr>
          <w:b w:val="false"/>
          <w:i w:val="false"/>
        </w:rPr>
        <w:t xml:space="preserve"> · </w:t>
      </w:r>
      <w:hyperlink r:id="rId13">
        <w:r>
          <w:rPr>
            <w:rStyle w:val="Hyperlink"/>
            <w:rFonts w:eastAsia="Heiti SC" w:cs="Arial"/>
            <w:color w:val="174B70"/>
            <w:u w:val="single"/>
          </w:rPr>
          <w:t>数据发布页面</w:t>
        </w:r>
      </w:hyperlink>
    </w:p>
    <w:sectPr>
      <w:headerReference w:type="default" r:id="rId14"/>
      <w:footerReference w:type="default" r:id="rId15"/>
      <w:type w:val="nextPage"/>
      <w:pgSz w:w="11906" w:h="16838"/>
      <w:pgMar w:left="1094" w:right="1094" w:gutter="0" w:header="403" w:top="994" w:footer="432" w:bottom="9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0"/>
    <w:family w:val="swiss"/>
    <w:pitch w:val="default"/>
  </w:font>
  <w:font w:name="Calibri">
    <w:altName w:val="Helvetica Neue"/>
    <w:charset w:val="00"/>
    <w:family w:val="swiss"/>
    <w:pitch w:val="default"/>
  </w:font>
  <w:font w:name="Symbol">
    <w:altName w:val="Kingsoft Sign"/>
    <w:charset w:val="02"/>
    <w:family w:val="roman"/>
    <w:pitch w:val="default"/>
  </w:font>
  <w:font w:name="Courier">
    <w:altName w:val="Courier New"/>
    <w:charset w:val="00"/>
    <w:family w:val="auto"/>
    <w:pitch w:val="default"/>
  </w:font>
  <w:font w:name="Cambria">
    <w:altName w:val="苹方-简"/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color w:val="000000"/>
        <w:sz w:val="16"/>
      </w:rPr>
    </w:pPr>
    <w:r>
      <w:rPr>
        <w:color w:val="000000"/>
        <w:sz w:val="16"/>
      </w:rPr>
      <w:t>多媒体实验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3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4" w:before="0" w:after="120"/>
    </w:pPr>
    <w:rPr>
      <w:rFonts w:ascii="Arial" w:hAnsi="Arial" w:eastAsia="Heiti SC" w:cs="Times New Roman"/>
      <w:color w:val="000000"/>
      <w:sz w:val="21"/>
      <w:szCs w:val="22"/>
      <w:lang w:eastAsia="en-US" w:bidi="ar-SA" w:val="en-US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274" w:before="260" w:after="120"/>
      <w:outlineLvl w:val="0"/>
    </w:pPr>
    <w:rPr>
      <w:rFonts w:ascii="Arial" w:hAnsi="Arial" w:eastAsia="Heiti SC" w:cs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274" w:before="160" w:after="120"/>
      <w:outlineLvl w:val="1"/>
    </w:pPr>
    <w:rPr>
      <w:rFonts w:ascii="Arial" w:hAnsi="Arial" w:eastAsia="Heiti SC" w:cs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274" w:before="160" w:after="120"/>
      <w:outlineLvl w:val="2"/>
    </w:pPr>
    <w:rPr>
      <w:rFonts w:ascii="Arial" w:hAnsi="Arial" w:eastAsia="Heiti SC" w:cs="Arial"/>
      <w:b/>
      <w:bCs/>
      <w:color w:val="000000"/>
      <w:sz w:val="2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;Helvetica Neue" w:hAnsi="Calibri;Helvetica Neue" w:eastAsia="Heiti SC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;Helvetica Neue" w:hAnsi="Calibri;Helvetica Neue" w:eastAsia="Heiti SC" w:cs="Times New Roman"/>
      <w:color w:val="243F61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;Helvetica Neue" w:hAnsi="Calibri;Helvetica Neue" w:eastAsia="Heiti SC" w:cs="Times New Roman"/>
      <w:i/>
      <w:iCs/>
      <w:color w:val="243F61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;Helvetica Neue" w:hAnsi="Calibri;Helvetica Neue" w:eastAsia="Heiti SC" w:cs="Times New Roman"/>
      <w:i/>
      <w:iCs/>
      <w:color w:val="3F3F3F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;Helvetica Neue" w:hAnsi="Calibri;Helvetica Neue" w:eastAsia="Heiti SC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;Helvetica Neue" w:hAnsi="Calibri;Helvetica Neue" w:eastAsia="Heiti SC" w:cs="Times New Roman"/>
      <w:i/>
      <w:iCs/>
      <w:color w:val="3F3F3F"/>
      <w:sz w:val="20"/>
      <w:szCs w:val="20"/>
    </w:rPr>
  </w:style>
  <w:style w:type="character" w:styleId="WW8Num3z0">
    <w:name w:val="WW8Num3z0"/>
    <w:qFormat/>
    <w:rPr>
      <w:rFonts w:ascii="Symbol;Kingsoft Sign" w:hAnsi="Symbol;Kingsoft Sign" w:cs="Symbol;Kingsoft Sign" w:eastAsia="Heiti SC"/>
    </w:rPr>
  </w:style>
  <w:style w:type="character" w:styleId="WW8Num4z0">
    <w:name w:val="WW8Num4z0"/>
    <w:qFormat/>
    <w:rPr>
      <w:rFonts w:ascii="Symbol;Kingsoft Sign" w:hAnsi="Symbol;Kingsoft Sign" w:cs="Symbol;Kingsoft Sign" w:eastAsia="Heiti SC"/>
    </w:rPr>
  </w:style>
  <w:style w:type="character" w:styleId="WW8Num6z0">
    <w:name w:val="WW8Num6z0"/>
    <w:qFormat/>
    <w:rPr>
      <w:rFonts w:ascii="Symbol;Kingsoft Sign" w:hAnsi="Symbol;Kingsoft Sign" w:cs="Symbol;Kingsoft Sign" w:eastAsia="Heiti SC"/>
    </w:rPr>
  </w:style>
  <w:style w:type="character" w:styleId="Style5">
    <w:name w:val="默认段落字体"/>
    <w:qFormat/>
    <w:rPr>
      <w:rFonts w:eastAsia="Heiti SC"/>
    </w:rPr>
  </w:style>
  <w:style w:type="character" w:styleId="MacroTextChar">
    <w:name w:val="Macro Text Char"/>
    <w:basedOn w:val="Style5"/>
    <w:qFormat/>
    <w:rPr>
      <w:rFonts w:ascii="Courier;苹方-简" w:hAnsi="Courier;苹方-简" w:cs="Courier;苹方-简" w:eastAsia="Heiti SC"/>
      <w:sz w:val="20"/>
      <w:szCs w:val="20"/>
    </w:rPr>
  </w:style>
  <w:style w:type="character" w:styleId="Heading1Char">
    <w:name w:val="Heading 1 Char"/>
    <w:basedOn w:val="Style5"/>
    <w:qFormat/>
    <w:rPr>
      <w:rFonts w:ascii="Calibri;Helvetica Neue" w:hAnsi="Calibri;Helvetica Neue" w:eastAsia="Heiti SC" w:cs="Times New Roman"/>
      <w:b/>
      <w:bCs/>
      <w:color w:val="366091"/>
      <w:sz w:val="28"/>
      <w:szCs w:val="28"/>
    </w:rPr>
  </w:style>
  <w:style w:type="character" w:styleId="Heading2Char">
    <w:name w:val="Heading 2 Char"/>
    <w:basedOn w:val="Style5"/>
    <w:qFormat/>
    <w:rPr>
      <w:rFonts w:ascii="Calibri;Helvetica Neue" w:hAnsi="Calibri;Helvetica Neue" w:eastAsia="Heiti SC" w:cs="Times New Roman"/>
      <w:b/>
      <w:bCs/>
      <w:color w:val="4F81BD"/>
      <w:sz w:val="26"/>
      <w:szCs w:val="26"/>
    </w:rPr>
  </w:style>
  <w:style w:type="character" w:styleId="Heading3Char">
    <w:name w:val="Heading 3 Char"/>
    <w:basedOn w:val="Style5"/>
    <w:qFormat/>
    <w:rPr>
      <w:rFonts w:ascii="Calibri;Helvetica Neue" w:hAnsi="Calibri;Helvetica Neue" w:eastAsia="Heiti SC" w:cs="Times New Roman"/>
      <w:b/>
      <w:bCs/>
      <w:color w:val="4F81BD"/>
    </w:rPr>
  </w:style>
  <w:style w:type="character" w:styleId="Heading4Char">
    <w:name w:val="Heading 4 Char"/>
    <w:basedOn w:val="Style5"/>
    <w:qFormat/>
    <w:rPr>
      <w:rFonts w:ascii="Calibri;Helvetica Neue" w:hAnsi="Calibri;Helvetica Neue" w:eastAsia="Heiti SC" w:cs="Times New Roman"/>
      <w:b/>
      <w:bCs/>
      <w:i/>
      <w:iCs/>
      <w:color w:val="4F81BD"/>
    </w:rPr>
  </w:style>
  <w:style w:type="character" w:styleId="Heading5Char">
    <w:name w:val="Heading 5 Char"/>
    <w:basedOn w:val="Style5"/>
    <w:qFormat/>
    <w:rPr>
      <w:rFonts w:ascii="Calibri;Helvetica Neue" w:hAnsi="Calibri;Helvetica Neue" w:eastAsia="Heiti SC" w:cs="Times New Roman"/>
      <w:color w:val="243F61"/>
    </w:rPr>
  </w:style>
  <w:style w:type="character" w:styleId="Heading6Char">
    <w:name w:val="Heading 6 Char"/>
    <w:basedOn w:val="Style5"/>
    <w:qFormat/>
    <w:rPr>
      <w:rFonts w:ascii="Calibri;Helvetica Neue" w:hAnsi="Calibri;Helvetica Neue" w:eastAsia="Heiti SC" w:cs="Times New Roman"/>
      <w:i/>
      <w:iCs/>
      <w:color w:val="243F61"/>
    </w:rPr>
  </w:style>
  <w:style w:type="character" w:styleId="Heading7Char">
    <w:name w:val="Heading 7 Char"/>
    <w:basedOn w:val="Style5"/>
    <w:qFormat/>
    <w:rPr>
      <w:rFonts w:ascii="Calibri;Helvetica Neue" w:hAnsi="Calibri;Helvetica Neue" w:eastAsia="Heiti SC" w:cs="Times New Roman"/>
      <w:i/>
      <w:iCs/>
      <w:color w:val="3F3F3F"/>
    </w:rPr>
  </w:style>
  <w:style w:type="character" w:styleId="Heading8Char">
    <w:name w:val="Heading 8 Char"/>
    <w:basedOn w:val="Style5"/>
    <w:qFormat/>
    <w:rPr>
      <w:rFonts w:ascii="Calibri;Helvetica Neue" w:hAnsi="Calibri;Helvetica Neue" w:eastAsia="Heiti SC" w:cs="Times New Roman"/>
      <w:color w:val="4F81BD"/>
      <w:sz w:val="20"/>
      <w:szCs w:val="20"/>
    </w:rPr>
  </w:style>
  <w:style w:type="character" w:styleId="Heading9Char">
    <w:name w:val="Heading 9 Char"/>
    <w:basedOn w:val="Style5"/>
    <w:qFormat/>
    <w:rPr>
      <w:rFonts w:ascii="Calibri;Helvetica Neue" w:hAnsi="Calibri;Helvetica Neue" w:eastAsia="Heiti SC" w:cs="Times New Roman"/>
      <w:i/>
      <w:iCs/>
      <w:color w:val="3F3F3F"/>
      <w:sz w:val="20"/>
      <w:szCs w:val="20"/>
    </w:rPr>
  </w:style>
  <w:style w:type="character" w:styleId="BodyText3Char">
    <w:name w:val="Body Text 3 Char"/>
    <w:basedOn w:val="Style5"/>
    <w:qFormat/>
    <w:rPr>
      <w:rFonts w:eastAsia="Heiti SC"/>
      <w:sz w:val="16"/>
      <w:szCs w:val="16"/>
    </w:rPr>
  </w:style>
  <w:style w:type="character" w:styleId="BodyTextChar">
    <w:name w:val="Body Text Char"/>
    <w:basedOn w:val="Style5"/>
    <w:qFormat/>
    <w:rPr>
      <w:rFonts w:eastAsia="Heiti SC"/>
    </w:rPr>
  </w:style>
  <w:style w:type="character" w:styleId="FooterChar">
    <w:name w:val="Footer Char"/>
    <w:basedOn w:val="Style5"/>
    <w:qFormat/>
    <w:rPr>
      <w:rFonts w:eastAsia="Heiti SC"/>
    </w:rPr>
  </w:style>
  <w:style w:type="character" w:styleId="HeaderChar">
    <w:name w:val="Header Char"/>
    <w:basedOn w:val="Style5"/>
    <w:qFormat/>
    <w:rPr>
      <w:rFonts w:eastAsia="Heiti SC"/>
    </w:rPr>
  </w:style>
  <w:style w:type="character" w:styleId="SubtitleChar">
    <w:name w:val="Subtitle Char"/>
    <w:basedOn w:val="Style5"/>
    <w:qFormat/>
    <w:rPr>
      <w:rFonts w:ascii="Calibri;Helvetica Neue" w:hAnsi="Calibri;Helvetica Neue" w:eastAsia="Heiti SC" w:cs="Times New Roman"/>
      <w:i/>
      <w:iCs/>
      <w:color w:val="4F81BD"/>
      <w:spacing w:val="15"/>
      <w:sz w:val="24"/>
      <w:szCs w:val="24"/>
    </w:rPr>
  </w:style>
  <w:style w:type="character" w:styleId="BodyText2Char">
    <w:name w:val="Body Text 2 Char"/>
    <w:basedOn w:val="Style5"/>
    <w:qFormat/>
    <w:rPr>
      <w:rFonts w:eastAsia="Heiti SC"/>
    </w:rPr>
  </w:style>
  <w:style w:type="character" w:styleId="TitleChar">
    <w:name w:val="Title Char"/>
    <w:basedOn w:val="Style5"/>
    <w:qFormat/>
    <w:rPr>
      <w:rFonts w:ascii="Calibri;Helvetica Neue" w:hAnsi="Calibri;Helvetica Neue" w:eastAsia="Heiti SC" w:cs="Times New Roman"/>
      <w:color w:val="17365D"/>
      <w:spacing w:val="5"/>
      <w:kern w:val="2"/>
      <w:sz w:val="52"/>
      <w:szCs w:val="52"/>
    </w:rPr>
  </w:style>
  <w:style w:type="character" w:styleId="Strong">
    <w:name w:val="Strong"/>
    <w:basedOn w:val="Style5"/>
    <w:qFormat/>
    <w:rPr>
      <w:rFonts w:eastAsia="Heiti SC"/>
      <w:b/>
      <w:bCs/>
    </w:rPr>
  </w:style>
  <w:style w:type="character" w:styleId="Emphasis">
    <w:name w:val="Emphasis"/>
    <w:basedOn w:val="Style5"/>
    <w:qFormat/>
    <w:rPr>
      <w:rFonts w:eastAsia="Heiti SC"/>
      <w:i/>
      <w:iCs/>
    </w:rPr>
  </w:style>
  <w:style w:type="character" w:styleId="QuoteChar">
    <w:name w:val="Quote Char"/>
    <w:basedOn w:val="Style5"/>
    <w:qFormat/>
    <w:rPr>
      <w:rFonts w:eastAsia="Heiti SC"/>
      <w:i/>
      <w:iCs/>
      <w:color w:val="000000"/>
    </w:rPr>
  </w:style>
  <w:style w:type="character" w:styleId="IntenseQuoteChar">
    <w:name w:val="Intense Quote Char"/>
    <w:basedOn w:val="Style5"/>
    <w:qFormat/>
    <w:rPr>
      <w:rFonts w:eastAsia="Heiti SC"/>
      <w:b/>
      <w:bCs/>
      <w:i/>
      <w:iCs/>
      <w:color w:val="4F81BD"/>
    </w:rPr>
  </w:style>
  <w:style w:type="character" w:styleId="SubtleEmphasis">
    <w:name w:val="Subtle Emphasis"/>
    <w:basedOn w:val="Style5"/>
    <w:qFormat/>
    <w:rPr>
      <w:rFonts w:eastAsia="Heiti SC"/>
      <w:i/>
      <w:iCs/>
      <w:color w:val="7F7F7F"/>
    </w:rPr>
  </w:style>
  <w:style w:type="character" w:styleId="IntenseEmphasis">
    <w:name w:val="Intense Emphasis"/>
    <w:basedOn w:val="Style5"/>
    <w:qFormat/>
    <w:rPr>
      <w:rFonts w:eastAsia="Heiti SC"/>
      <w:b/>
      <w:bCs/>
      <w:i/>
      <w:iCs/>
      <w:color w:val="4F81BD"/>
    </w:rPr>
  </w:style>
  <w:style w:type="character" w:styleId="SubtleReference">
    <w:name w:val="Subtle Reference"/>
    <w:basedOn w:val="Style5"/>
    <w:qFormat/>
    <w:rPr>
      <w:rFonts w:eastAsia="Heiti SC"/>
      <w:smallCaps/>
      <w:color w:val="C0504D"/>
      <w:u w:val="single"/>
    </w:rPr>
  </w:style>
  <w:style w:type="character" w:styleId="IntenseReference">
    <w:name w:val="Intense Reference"/>
    <w:basedOn w:val="Style5"/>
    <w:qFormat/>
    <w:rPr>
      <w:rFonts w:eastAsia="Heiti SC"/>
      <w:b/>
      <w:bCs/>
      <w:smallCaps/>
      <w:color w:val="C0504D"/>
      <w:spacing w:val="5"/>
      <w:u w:val="single"/>
    </w:rPr>
  </w:style>
  <w:style w:type="character" w:styleId="BookTitle">
    <w:name w:val="Book Title"/>
    <w:basedOn w:val="Style5"/>
    <w:qFormat/>
    <w:rPr>
      <w:rFonts w:eastAsia="Heiti SC"/>
      <w:b/>
      <w:bCs/>
      <w:smallCaps/>
      <w:spacing w:val="5"/>
    </w:rPr>
  </w:style>
  <w:style w:type="character" w:styleId="Hyperlink">
    <w:name w:val="Hyperlink"/>
    <w:rPr>
      <w:rFonts w:eastAsia="Heiti SC"/>
      <w:color w:val="000080"/>
      <w:u w:val="single"/>
    </w:rPr>
  </w:style>
  <w:style w:type="paragraph" w:styleId="Heading">
    <w:name w:val="Heading"/>
    <w:basedOn w:val="Normal"/>
    <w:next w:val="Normal"/>
    <w:qFormat/>
    <w:pPr>
      <w:spacing w:lineRule="auto" w:line="274" w:before="0" w:after="140"/>
      <w:contextualSpacing/>
    </w:pPr>
    <w:rPr>
      <w:rFonts w:ascii="Arial" w:hAnsi="Arial" w:eastAsia="Heiti SC" w:cs="Arial"/>
      <w:b/>
      <w:color w:val="000000"/>
      <w:spacing w:val="5"/>
      <w:kern w:val="2"/>
      <w:sz w:val="44"/>
      <w:szCs w:val="52"/>
    </w:rPr>
  </w:style>
  <w:style w:type="paragraph" w:styleId="BodyText">
    <w:name w:val="Body Text"/>
    <w:basedOn w:val="Normal"/>
    <w:pPr>
      <w:spacing w:before="0" w:after="120"/>
    </w:pPr>
    <w:rPr>
      <w:rFonts w:eastAsia="Heiti SC"/>
    </w:rPr>
  </w:style>
  <w:style w:type="paragraph" w:styleId="List">
    <w:name w:val="List"/>
    <w:basedOn w:val="Normal"/>
    <w:pPr>
      <w:spacing w:before="0" w:after="120"/>
      <w:ind w:hanging="360" w:start="360" w:end="0"/>
      <w:contextualSpacing/>
    </w:pPr>
    <w:rPr>
      <w:rFonts w:eastAsia="Heiti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 w:eastAsia="Heiti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 w:eastAsia="Heiti SC"/>
    </w:rPr>
  </w:style>
  <w:style w:type="paragraph" w:styleId="Style6">
    <w:name w:val="宏文本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</w:pPr>
    <w:rPr>
      <w:rFonts w:ascii="Courier;苹方-简" w:hAnsi="Courier;苹方-简" w:eastAsia="Heiti SC" w:cs="Times New Roman"/>
      <w:color w:val="auto"/>
      <w:sz w:val="20"/>
      <w:szCs w:val="20"/>
      <w:lang w:eastAsia="en-US" w:bidi="ar-SA" w:val="en-US"/>
    </w:rPr>
  </w:style>
  <w:style w:type="paragraph" w:styleId="3">
    <w:name w:val="列表 3"/>
    <w:basedOn w:val="Normal"/>
    <w:qFormat/>
    <w:pPr>
      <w:spacing w:before="0" w:after="120"/>
      <w:ind w:hanging="360" w:start="1080" w:end="0"/>
      <w:contextualSpacing/>
    </w:pPr>
    <w:rPr>
      <w:rFonts w:eastAsia="Heiti SC"/>
    </w:rPr>
  </w:style>
  <w:style w:type="paragraph" w:styleId="2">
    <w:name w:val="列表编号 2"/>
    <w:basedOn w:val="Normal"/>
    <w:qFormat/>
    <w:pPr>
      <w:numPr>
        <w:ilvl w:val="0"/>
        <w:numId w:val="3"/>
      </w:numPr>
      <w:tabs>
        <w:tab w:val="left" w:pos="720" w:leader="none"/>
      </w:tabs>
      <w:spacing w:before="0" w:after="120"/>
      <w:contextualSpacing/>
    </w:pPr>
    <w:rPr>
      <w:rFonts w:eastAsia="Heiti SC"/>
    </w:rPr>
  </w:style>
  <w:style w:type="paragraph" w:styleId="Style7">
    <w:name w:val="列表编号"/>
    <w:basedOn w:val="Normal"/>
    <w:qFormat/>
    <w:pPr>
      <w:numPr>
        <w:ilvl w:val="0"/>
        <w:numId w:val="6"/>
      </w:numPr>
      <w:tabs>
        <w:tab w:val="clear" w:pos="720"/>
        <w:tab w:val="left" w:pos="360" w:leader="none"/>
      </w:tabs>
      <w:spacing w:before="0" w:after="120"/>
      <w:contextualSpacing/>
    </w:pPr>
    <w:rPr>
      <w:rFonts w:eastAsia="Heiti SC"/>
    </w:rPr>
  </w:style>
  <w:style w:type="paragraph" w:styleId="Style8">
    <w:name w:val="题注"/>
    <w:basedOn w:val="Normal"/>
    <w:next w:val="Normal"/>
    <w:qFormat/>
    <w:pPr>
      <w:spacing w:lineRule="auto" w:line="240"/>
    </w:pPr>
    <w:rPr>
      <w:rFonts w:eastAsia="Heiti SC"/>
      <w:b/>
      <w:bCs/>
      <w:color w:val="4F81BD"/>
      <w:sz w:val="18"/>
      <w:szCs w:val="18"/>
    </w:rPr>
  </w:style>
  <w:style w:type="paragraph" w:styleId="Style9">
    <w:name w:val="列表项目符号"/>
    <w:basedOn w:val="Normal"/>
    <w:qFormat/>
    <w:pPr>
      <w:numPr>
        <w:ilvl w:val="0"/>
        <w:numId w:val="7"/>
      </w:numPr>
      <w:tabs>
        <w:tab w:val="clear" w:pos="720"/>
        <w:tab w:val="left" w:pos="360" w:leader="none"/>
      </w:tabs>
      <w:spacing w:lineRule="auto" w:line="274" w:before="0" w:after="100"/>
      <w:ind w:hanging="202" w:start="202" w:end="0"/>
      <w:contextualSpacing/>
    </w:pPr>
    <w:rPr>
      <w:rFonts w:ascii="Arial" w:hAnsi="Arial" w:eastAsia="Heiti SC" w:cs="Arial"/>
      <w:color w:val="000000"/>
      <w:sz w:val="21"/>
    </w:rPr>
  </w:style>
  <w:style w:type="paragraph" w:styleId="31">
    <w:name w:val="正文文本 3"/>
    <w:basedOn w:val="Normal"/>
    <w:qFormat/>
    <w:pPr>
      <w:spacing w:before="0" w:after="120"/>
    </w:pPr>
    <w:rPr>
      <w:rFonts w:eastAsia="Heiti SC"/>
      <w:sz w:val="16"/>
      <w:szCs w:val="16"/>
    </w:rPr>
  </w:style>
  <w:style w:type="paragraph" w:styleId="32">
    <w:name w:val="列表项目符号 3"/>
    <w:basedOn w:val="Normal"/>
    <w:qFormat/>
    <w:pPr>
      <w:numPr>
        <w:ilvl w:val="0"/>
        <w:numId w:val="4"/>
      </w:numPr>
      <w:tabs>
        <w:tab w:val="clear" w:pos="720"/>
        <w:tab w:val="left" w:pos="1080" w:leader="none"/>
      </w:tabs>
      <w:spacing w:before="0" w:after="120"/>
      <w:contextualSpacing/>
    </w:pPr>
    <w:rPr>
      <w:rFonts w:eastAsia="Heiti SC"/>
    </w:rPr>
  </w:style>
  <w:style w:type="paragraph" w:styleId="33">
    <w:name w:val="列表编号 3"/>
    <w:basedOn w:val="Normal"/>
    <w:qFormat/>
    <w:pPr>
      <w:numPr>
        <w:ilvl w:val="0"/>
        <w:numId w:val="2"/>
      </w:numPr>
      <w:tabs>
        <w:tab w:val="clear" w:pos="720"/>
        <w:tab w:val="left" w:pos="1080" w:leader="none"/>
      </w:tabs>
      <w:spacing w:before="0" w:after="120"/>
      <w:contextualSpacing/>
    </w:pPr>
    <w:rPr>
      <w:rFonts w:eastAsia="Heiti SC"/>
    </w:rPr>
  </w:style>
  <w:style w:type="paragraph" w:styleId="21">
    <w:name w:val="列表 2"/>
    <w:basedOn w:val="Normal"/>
    <w:qFormat/>
    <w:pPr>
      <w:spacing w:before="0" w:after="120"/>
      <w:ind w:hanging="360" w:start="720" w:end="0"/>
      <w:contextualSpacing/>
    </w:pPr>
    <w:rPr>
      <w:rFonts w:eastAsia="Heiti SC"/>
    </w:rPr>
  </w:style>
  <w:style w:type="paragraph" w:styleId="Style10">
    <w:name w:val="列表接续"/>
    <w:basedOn w:val="Normal"/>
    <w:qFormat/>
    <w:pPr>
      <w:spacing w:before="0" w:after="120"/>
      <w:ind w:hanging="0" w:start="360" w:end="0"/>
      <w:contextualSpacing/>
    </w:pPr>
    <w:rPr>
      <w:rFonts w:eastAsia="Heiti SC"/>
    </w:rPr>
  </w:style>
  <w:style w:type="paragraph" w:styleId="22">
    <w:name w:val="列表项目符号 2"/>
    <w:basedOn w:val="Normal"/>
    <w:qFormat/>
    <w:pPr>
      <w:numPr>
        <w:ilvl w:val="0"/>
        <w:numId w:val="5"/>
      </w:numPr>
      <w:tabs>
        <w:tab w:val="left" w:pos="720" w:leader="none"/>
      </w:tabs>
      <w:spacing w:before="0" w:after="120"/>
      <w:contextualSpacing/>
    </w:pPr>
    <w:rPr>
      <w:rFonts w:eastAsia="Heiti SC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>
      <w:rFonts w:eastAsia="Heiti SC"/>
    </w:rPr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eastAsia="Heiti SC"/>
    </w:rPr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eastAsia="Heiti SC"/>
    </w:rPr>
  </w:style>
  <w:style w:type="paragraph" w:styleId="Subtitle">
    <w:name w:val="Subtitle"/>
    <w:basedOn w:val="Normal"/>
    <w:next w:val="Normal"/>
    <w:qFormat/>
    <w:pPr>
      <w:spacing w:lineRule="auto" w:line="274" w:before="0" w:after="280"/>
    </w:pPr>
    <w:rPr>
      <w:rFonts w:ascii="Arial" w:hAnsi="Arial" w:eastAsia="Heiti SC" w:cs="Arial"/>
      <w:i w:val="false"/>
      <w:iCs/>
      <w:color w:val="000000"/>
      <w:spacing w:val="15"/>
      <w:sz w:val="20"/>
      <w:szCs w:val="24"/>
    </w:rPr>
  </w:style>
  <w:style w:type="paragraph" w:styleId="23">
    <w:name w:val="正文文本 2"/>
    <w:basedOn w:val="Normal"/>
    <w:qFormat/>
    <w:pPr>
      <w:spacing w:lineRule="auto" w:line="480" w:before="0" w:after="120"/>
    </w:pPr>
    <w:rPr>
      <w:rFonts w:eastAsia="Heiti SC"/>
    </w:rPr>
  </w:style>
  <w:style w:type="paragraph" w:styleId="24">
    <w:name w:val="列表接续 2"/>
    <w:basedOn w:val="Normal"/>
    <w:qFormat/>
    <w:pPr>
      <w:spacing w:before="0" w:after="120"/>
      <w:ind w:hanging="0" w:start="720" w:end="0"/>
      <w:contextualSpacing/>
    </w:pPr>
    <w:rPr>
      <w:rFonts w:eastAsia="Heiti SC"/>
    </w:rPr>
  </w:style>
  <w:style w:type="paragraph" w:styleId="34">
    <w:name w:val="列表接续 3"/>
    <w:basedOn w:val="Normal"/>
    <w:qFormat/>
    <w:pPr>
      <w:spacing w:before="0" w:after="120"/>
      <w:ind w:hanging="0" w:start="1080" w:end="0"/>
      <w:contextualSpacing/>
    </w:pPr>
    <w:rPr>
      <w:rFonts w:eastAsia="Heiti SC"/>
    </w:rPr>
  </w:style>
  <w:style w:type="paragraph" w:styleId="NoSpacing">
    <w:name w:val="No Spacing"/>
    <w:qFormat/>
    <w:pPr>
      <w:widowControl/>
      <w:bidi w:val="0"/>
      <w:spacing w:lineRule="auto" w:line="240" w:before="0" w:after="0"/>
    </w:pPr>
    <w:rPr>
      <w:rFonts w:ascii="Cambria;苹方-简" w:hAnsi="Cambria;苹方-简" w:eastAsia="Heiti SC" w:cs="Times New Roman"/>
      <w:color w:val="auto"/>
      <w:sz w:val="22"/>
      <w:szCs w:val="22"/>
      <w:lang w:eastAsia="en-US" w:bidi="ar-SA" w:val="en-US"/>
    </w:rPr>
  </w:style>
  <w:style w:type="paragraph" w:styleId="ListParagraph">
    <w:name w:val="List Paragraph"/>
    <w:basedOn w:val="Normal"/>
    <w:qFormat/>
    <w:pPr>
      <w:spacing w:before="0" w:after="120"/>
      <w:ind w:hanging="0" w:start="720" w:end="0"/>
      <w:contextualSpacing/>
    </w:pPr>
    <w:rPr>
      <w:rFonts w:eastAsia="Heiti SC"/>
    </w:rPr>
  </w:style>
  <w:style w:type="paragraph" w:styleId="Quote">
    <w:name w:val="Quote"/>
    <w:basedOn w:val="Normal"/>
    <w:next w:val="Normal"/>
    <w:qFormat/>
    <w:pPr/>
    <w:rPr>
      <w:rFonts w:eastAsia="Heiti SC"/>
      <w:i/>
      <w:iCs/>
      <w:color w:val="000000"/>
    </w:rPr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hanging="0" w:start="936" w:end="936"/>
    </w:pPr>
    <w:rPr>
      <w:rFonts w:eastAsia="Heiti SC"/>
      <w:b/>
      <w:bCs/>
      <w:i/>
      <w:iCs/>
      <w:color w:val="4F81BD"/>
    </w:rPr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outlineLvl w:val="9"/>
    </w:pPr>
    <w:rPr>
      <w:rFonts w:eastAsia="Heiti SC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eastAsia="Heiti SC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eastAsia="Heiti SC"/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rxiv.org/abs/1711.02512" TargetMode="External"/><Relationship Id="rId3" Type="http://schemas.openxmlformats.org/officeDocument/2006/relationships/hyperlink" Target="https://doi.org/10.1109/TPAMI.2018.2846566" TargetMode="External"/><Relationship Id="rId4" Type="http://schemas.openxmlformats.org/officeDocument/2006/relationships/hyperlink" Target="https://github.com/filipradenovic/cnnimageretrieval-pytorch" TargetMode="External"/><Relationship Id="rId5" Type="http://schemas.openxmlformats.org/officeDocument/2006/relationships/hyperlink" Target="https://arxiv.org/abs/1908.07410" TargetMode="External"/><Relationship Id="rId6" Type="http://schemas.openxmlformats.org/officeDocument/2006/relationships/hyperlink" Target="https://github.com/MKLab-ITI/visil/tree/pytorch" TargetMode="External"/><Relationship Id="rId7" Type="http://schemas.openxmlformats.org/officeDocument/2006/relationships/hyperlink" Target="https://liplus.me/publication/dsnet/dsnet.pdf" TargetMode="External"/><Relationship Id="rId8" Type="http://schemas.openxmlformats.org/officeDocument/2006/relationships/hyperlink" Target="https://doi.org/10.1109/TIP.2020.3039886" TargetMode="External"/><Relationship Id="rId9" Type="http://schemas.openxmlformats.org/officeDocument/2006/relationships/hyperlink" Target="https://github.com/li-plus/DSNet" TargetMode="External"/><Relationship Id="rId10" Type="http://schemas.openxmlformats.org/officeDocument/2006/relationships/hyperlink" Target="https://www.cs.columbia.edu/CAVE/software/softlib/coil-100.php" TargetMode="External"/><Relationship Id="rId11" Type="http://schemas.openxmlformats.org/officeDocument/2006/relationships/hyperlink" Target="https://openaccess.thecvf.com/content_cvpr_2015/html/Song_TVSum_Summarizing_Web_2015_CVPR_paper.html" TargetMode="External"/><Relationship Id="rId12" Type="http://schemas.openxmlformats.org/officeDocument/2006/relationships/hyperlink" Target="https://github.com/yalesong/tvsum" TargetMode="External"/><Relationship Id="rId13" Type="http://schemas.openxmlformats.org/officeDocument/2006/relationships/hyperlink" Target="https://people.csail.mit.edu/yalesong/tvsum/" TargetMode="External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MM</dc:creator>
  <dc:description>generated by python-docx</dc:description>
  <cp:keywords>GeM ViSiL DSNet</cp:keywords>
  <dc:language>zh-CN</dc:language>
  <cp:lastModifiedBy>MM</cp:lastModifiedBy>
  <dcterms:modified xsi:type="dcterms:W3CDTF">2026-09-29T17:09:51Z</dcterms:modified>
  <cp:revision>1</cp:revision>
  <dc:subject>图像检索、视频检索与视频摘要</dc:subject>
  <dc:title>多媒体实验任务书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C3A08344D7638945AFC6BB6AE918430E_43</vt:lpwstr>
  </property>
  <property fmtid="{D5CDD505-2E9C-101B-9397-08002B2CF9AE}" pid="3" name="KSOProductBuildVer">
    <vt:lpwstr>2052-12.1.25205.25205</vt:lpwstr>
  </property>
</Properties>
</file>