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通知详情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bookmarkStart w:id="2" w:name="_GoBack"/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  <w:bookmarkEnd w:id="2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1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1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961C47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BC83F80"/>
    <w:rsid w:val="1C066D8B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4364C8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F0559BB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2D16DE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B5A87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1C3D7E"/>
    <w:rsid w:val="5B2A6DDC"/>
    <w:rsid w:val="5B2E574A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E16BC7"/>
    <w:rsid w:val="720E705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2017-08-23T07:27:47Z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