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Subtitle"/>
        <w:jc w:val="center"/>
      </w:pPr>
      <w:r>
        <w:t>2026年华北五省（市、自治区）及港澳台大学生计算机应用大赛</w:t>
      </w:r>
    </w:p>
    <w:p>
      <w:pPr>
        <w:jc w:val="center"/>
      </w:pPr>
      <w:r>
        <w:t>大模型与智能体应用</w:t>
      </w:r>
    </w:p>
    <w:p/>
    <w:p/>
    <w:p>
      <w:pPr>
        <w:jc w:val="center"/>
      </w:pPr>
      <w:r>
        <w:rPr>
          <w:rFonts w:ascii="黑体" w:hAnsi="黑体" w:eastAsia="黑体"/>
          <w:b/>
          <w:color w:val="17365D"/>
          <w:sz w:val="56"/>
        </w:rPr>
        <w:t>goclip 智能剪辑助手</w:t>
      </w:r>
    </w:p>
    <w:p>
      <w:pPr>
        <w:jc w:val="center"/>
      </w:pPr>
      <w:r>
        <w:t>长视频理解与自然语言剪辑系统</w:t>
      </w:r>
    </w:p>
    <w:p/>
    <w:p/>
    <w:p>
      <w:pPr>
        <w:spacing w:after="160"/>
        <w:ind w:left="2160"/>
      </w:pPr>
      <w:r>
        <w:t>作品类别：大模型与智能体应用</w:t>
      </w:r>
    </w:p>
    <w:p>
      <w:pPr>
        <w:spacing w:after="160"/>
        <w:ind w:left="2160"/>
      </w:pPr>
      <w:r>
        <w:t>所在赛区：________________________</w:t>
      </w:r>
    </w:p>
    <w:p>
      <w:pPr>
        <w:spacing w:after="160"/>
        <w:ind w:left="2160"/>
      </w:pPr>
      <w:r>
        <w:t>所在学校：________________________</w:t>
      </w:r>
    </w:p>
    <w:p>
      <w:pPr>
        <w:spacing w:after="160"/>
        <w:ind w:left="2160"/>
      </w:pPr>
      <w:r>
        <w:t>团队名称：________________________</w:t>
      </w:r>
    </w:p>
    <w:p>
      <w:pPr>
        <w:spacing w:after="160"/>
        <w:ind w:left="2160"/>
      </w:pPr>
      <w:r>
        <w:t>团队成员：________________________</w:t>
      </w:r>
    </w:p>
    <w:p>
      <w:pPr>
        <w:spacing w:after="160"/>
        <w:ind w:left="2160"/>
      </w:pPr>
      <w:r>
        <w:t>指导教师：________________________</w:t>
      </w:r>
    </w:p>
    <w:p>
      <w:pPr>
        <w:spacing w:after="160"/>
        <w:ind w:left="2160"/>
      </w:pPr>
      <w:r>
        <w:t>提交日期：2026年____月____日</w:t>
      </w:r>
    </w:p>
    <w:p>
      <w:r>
        <w:br w:type="page"/>
      </w:r>
    </w:p>
    <w:p>
      <w:pPr>
        <w:pStyle w:val="Heading1"/>
        <w:keepNext/>
      </w:pPr>
      <w:r>
        <w:t>参赛作品知识产权声明</w:t>
      </w:r>
    </w:p>
    <w:p>
      <w:r>
        <w:t>参赛作品名称：goclip 智能剪辑助手（下称“该作品”）</w:t>
      </w:r>
    </w:p>
    <w:p>
      <w:r>
        <w:t>本小组全体成员就该作品作出以下声明。请在提交前由全体成员核对、补齐信息并签字：</w:t>
      </w:r>
    </w:p>
    <w:p>
      <w:r>
        <w:t>该作品及随作品提交的应用、文档和介绍材料由本小组完成。提交前请核实作品中引用的开源项目、模型、字体及素材均按其许可使用，不包含未经授权的内容，也不涉及泄密或违反法律法规的情形。作品公开时间：____年____月____日（如未公开，请填写“未公开”）。</w:t>
      </w:r>
    </w:p>
    <w:p>
      <w:r>
        <w:t>该作品的知识产权归属及成员授权关系由小组成员共同确认；签署人确认已获全体成员同意。</w:t>
      </w:r>
    </w:p>
    <w:p>
      <w:r>
        <w:t>参加大赛答辩的人员为本小组成员。</w:t>
      </w:r>
    </w:p>
    <w:p>
      <w:r>
        <w:t>关于大赛举办方为宣传大赛、推广作品及非盈利教育用途对作品材料的使用许可，请由全体成员选择：相关文档结集出版 □同意 □不同意；上传、播放介绍视频或幻灯片 □同意 □不同意；在大赛网站提供应用下载 □同意 □不同意。</w:t>
      </w:r>
    </w:p>
    <w:p>
      <w:r>
        <w:t>作品小组全体成员签名：________________________________________</w:t>
      </w:r>
    </w:p>
    <w:p>
      <w:r>
        <w:t>日期：2026年____月____日</w:t>
      </w:r>
    </w:p>
    <w:p>
      <w:r>
        <w:br w:type="page"/>
      </w:r>
    </w:p>
    <w:p>
      <w:pPr>
        <w:pStyle w:val="Heading1"/>
        <w:keepNext/>
      </w:pPr>
      <w:r>
        <w:t>一、作品概述</w:t>
      </w:r>
    </w:p>
    <w:p>
      <w:r>
        <w:t>goclip 是面向长视频创作者的理解与剪辑工具。用户导入视频后，可以让系统提取语音转写、画面文字、画面描述、镜头切点、停顿和响度等信息，再用自然语言寻找需要的内容，并把选中的片段编排成时间线、预览和导出。</w:t>
      </w:r>
    </w:p>
    <w:p>
      <w:r>
        <w:t>传统剪辑通常要求用户先在素材中定位时间码。长视频里，创作者更容易记住“讲到某句话时”“出现某个场景时”，而不是具体的分钟秒数。goclip 将这些内容整理成带时间范围的证据，用户可以从内容出发检索，再回到原片核对。</w:t>
      </w:r>
    </w:p>
    <w:p>
      <w:r>
        <w:t>本作品把“可核对、可撤回”作为编辑流程的基础。模型只能基于工具提供的时间区间生成建议，不能自行补造时间码；剪辑方案先展示片段、选择理由和证据引用，用户确认后才写入时间线；每次时间线编辑都携带版本号，发生并发修改时拒绝覆盖，并保留可回滚的历史快照。</w:t>
      </w:r>
    </w:p>
    <w:p>
      <w:r>
        <w:t>系统以 DSH（DeepSeek Harness）为运行基座，由视频工作区插件、证据总览面板和剪辑工作台组成。工具与界面运行在同一个 DSH 进程中，不另设独立后端服务。视频理解调用配置的多模态模型；本地媒体处理使用 FFmpeg/ffprobe；素材和导出文件存放在阿里云 OSS，项目索引与工作数据保存在本地运行环境。</w:t>
      </w:r>
    </w:p>
    <w:p>
      <w:pPr>
        <w:pStyle w:val="Heading1"/>
        <w:keepNext/>
      </w:pPr>
      <w:r>
        <w:t>二、作品可行性分析和目标群体</w:t>
      </w:r>
    </w:p>
    <w:p>
      <w:pPr>
        <w:pStyle w:val="Heading2"/>
        <w:keepNext/>
      </w:pPr>
      <w:r>
        <w:t>（1）可行性分析</w:t>
      </w:r>
    </w:p>
    <w:p>
      <w:r>
        <w:t>技术方面，系统将任务拆成边界清楚的环节：本地程序负责媒体探测、声学与镜头计算、剪辑和导出；多模态模型负责语音、屏幕文字与画面内容理解；工具层负责把两类结果落到统一的时间区间和项目数据中。DSH 提供工具调用及客户端插件运行环境，减少了单独维护 API 服务和前端服务的工作量。</w:t>
      </w:r>
    </w:p>
    <w:p>
      <w:r>
        <w:t>操作方面，用户可从项目、素材开始，也可以直接用自然语言描述要找的内容。证据面板负责查看素材分析结果，工作台负责看片、调整片段、查看版本和成片。所有编辑动作都经由工具执行，界面不会绕过工具直接改写项目数据。</w:t>
      </w:r>
    </w:p>
    <w:p>
      <w:r>
        <w:t>运行与成本方面，本地证据计算不依赖模型调用；需要语义理解的分析才调用多模态模型。素材与导出结果使用 OSS 存储，运行端保留索引及会话数据。系统需要 Node.js、pnpm、FFmpeg/ffprobe、百炼 API 凭据和 OSS 配置；实际使用效果也受模型服务可用性、网络和素材编码格式影响。</w:t>
      </w:r>
    </w:p>
    <w:p>
      <w:r>
        <w:t>当前方案适用于有稳定网络和模型凭据的使用环境。视频文件上传前会检查配置和格式；默认导入流程在 OSS 上传成功后删除本地源文件，因此部署时应明确设置是否保留源文件。项目使用前应按提示配置 keepSourceFiles，避免误删唯一副本。</w:t>
      </w:r>
    </w:p>
    <w:p>
      <w:pPr>
        <w:pStyle w:val="Heading2"/>
        <w:keepNext/>
      </w:pPr>
      <w:r>
        <w:t>（2）目标群体</w:t>
      </w:r>
    </w:p>
    <w:p>
      <w:r>
        <w:t>主要使用者是需要从长素材中找内容、做精简和整理的创作者，例如课程讲师、访谈与播客制作者、活动记录人员、短视频剪辑者，以及需要制作培训或宣传视频的团队。</w:t>
      </w:r>
    </w:p>
    <w:p>
      <w:r>
        <w:t>对不熟悉专业剪辑软件的用户，系统提供“按内容找片段”的入口；有剪辑经验的用户可以直接在工作台中调整片段边界、顺序、倍速和静音，并查看证据轨道和版本变化。作品定位是辅助创作，不替用户判断内容是否适合发布。</w:t>
      </w:r>
    </w:p>
    <w:p>
      <w:pPr>
        <w:pStyle w:val="Heading1"/>
        <w:keepNext/>
      </w:pPr>
      <w:r>
        <w:t>三、作品功能与原型设计</w:t>
      </w:r>
    </w:p>
    <w:p>
      <w:pPr>
        <w:pStyle w:val="Heading2"/>
        <w:keepNext/>
      </w:pPr>
      <w:r>
        <w:t>（1）功能概述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DCE6F1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功能模块</w:t>
            </w:r>
          </w:p>
        </w:tc>
        <w:tc>
          <w:tcPr>
            <w:tcW w:type="dxa" w:w="4824"/>
            <w:vAlign w:val="center"/>
            <w:shd w:fill="DCE6F1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功能说明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sz w:val="19"/>
              </w:rPr>
              <w:t>项目与素材管理</w:t>
            </w:r>
          </w:p>
        </w:tc>
        <w:tc>
          <w:tcPr>
            <w:tcW w:type="dxa" w:w="482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sz w:val="19"/>
              </w:rPr>
              <w:t>创建、列出和删除项目；导入视频、查看素材、管理素材索引。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sz w:val="19"/>
              </w:rPr>
              <w:t>视频理解与检索</w:t>
            </w:r>
          </w:p>
        </w:tc>
        <w:tc>
          <w:tcPr>
            <w:tcW w:type="dxa" w:w="482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sz w:val="19"/>
              </w:rPr>
              <w:t>对素材进行理解；按自然语言搜索内容、定位指定画面或声音、查找相似片段，生成大纲和高光。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sz w:val="19"/>
              </w:rPr>
              <w:t>多维证据</w:t>
            </w:r>
          </w:p>
        </w:tc>
        <w:tc>
          <w:tcPr>
            <w:tcW w:type="dxa" w:w="482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sz w:val="19"/>
              </w:rPr>
              <w:t>本地计算响度、镜头切点和停顿；调用多模态模型生成语音转写、屏幕文字和画面描述；汇总分析状态。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sz w:val="19"/>
              </w:rPr>
              <w:t>剪辑方案</w:t>
            </w:r>
          </w:p>
        </w:tc>
        <w:tc>
          <w:tcPr>
            <w:tcW w:type="dxa" w:w="482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sz w:val="19"/>
              </w:rPr>
              <w:t>将候选片段整理为结构化方案，逐段保存选择理由与证据引用；用户接受后才写入时间线。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sz w:val="19"/>
              </w:rPr>
              <w:t>时间线编辑</w:t>
            </w:r>
          </w:p>
        </w:tc>
        <w:tc>
          <w:tcPr>
            <w:tcW w:type="dxa" w:w="482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sz w:val="19"/>
              </w:rPr>
              <w:t>创建和读取时间线；添加、插入、删除、重排、裁切、拆分、合并片段；调整播放速度、静音及字幕样式。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sz w:val="19"/>
              </w:rPr>
              <w:t>版本管理</w:t>
            </w:r>
          </w:p>
        </w:tc>
        <w:tc>
          <w:tcPr>
            <w:tcW w:type="dxa" w:w="482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sz w:val="19"/>
              </w:rPr>
              <w:t>每次编辑前记录快照；查看历史并回到指定版本。版本回退会形成新版本，历史记录仍保留。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sz w:val="19"/>
              </w:rPr>
              <w:t>预览与导出</w:t>
            </w:r>
          </w:p>
        </w:tc>
        <w:tc>
          <w:tcPr>
            <w:tcW w:type="dxa" w:w="482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sz w:val="19"/>
              </w:rPr>
              <w:t>在工作台预览原片和组合成片；校验导出条件、提交渲染任务、查看任务状态并导出字幕。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sz w:val="19"/>
              </w:rPr>
              <w:t>证据查看</w:t>
            </w:r>
          </w:p>
        </w:tc>
        <w:tc>
          <w:tcPr>
            <w:tcW w:type="dxa" w:w="482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sz w:val="19"/>
              </w:rPr>
              <w:t>证据总览面板按原片时间显示各类证据；工作台轨道可定位到对应原片时刻。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（2）原型设计</w:t>
      </w:r>
    </w:p>
    <w:p>
      <w:r>
        <w:t>作品主要由 DSH 对话区、证据总览面板和剪辑工作台构成。对话区用于提出查找或剪辑意图；证据面板以同一素材时间轴展示各维度分析；工作台提供播放器、片段时间线、证据轨道、版本列表和成片列表。</w:t>
      </w:r>
    </w:p>
    <w:p>
      <w:r>
        <w:t>证据总览面板为只读视图，读取工具投影到会话记录中的 presentationMeta，不单独发起分析请求。这样面板呈现的是工具实际返回并随会话保存的数据；未完成的证据维度会保持缺失状态，不用推测内容填充。</w:t>
      </w:r>
    </w:p>
    <w:p>
      <w:r>
        <w:t>工作台通过地址片段中的 project 和 asset 参数定位当前项目与素材。视频字节及分析数据由视频工作区插件提供只读路由，媒体播放支持 HTTP Range 请求，浏览器可按需读取视频片段。对时间线的拖动和快捷编辑会转成工具意图，并携带 base_revision。</w:t>
      </w:r>
    </w:p>
    <w:p>
      <w:r>
        <w:t>原型页面截图：当前仓库中的 image.png 展示的是部署登录提示，不包含工作台界面，因此本设计文档不将其作为功能截图。正式提交时可替换为实际工作台的脱敏截图，并为图中功能添加说明。</w:t>
      </w:r>
    </w:p>
    <w:p>
      <w:pPr>
        <w:pStyle w:val="Heading1"/>
        <w:keepNext/>
      </w:pPr>
      <w:r>
        <w:t>四、作品实现、难点及特色分析</w:t>
      </w:r>
    </w:p>
    <w:p>
      <w:pPr>
        <w:pStyle w:val="Heading2"/>
        <w:keepNext/>
      </w:pPr>
      <w:r>
        <w:t>（1）作品实现及难点</w:t>
      </w:r>
    </w:p>
    <w:p>
      <w:pPr>
        <w:pStyle w:val="Heading2"/>
        <w:keepNext/>
      </w:pPr>
      <w:r>
        <w:t>1. 运行结构与数据流</w:t>
      </w:r>
    </w:p>
    <w:p>
      <w:r>
        <w:t>系统由三个 DSH 插件构成：dsh-video-workspace 注册视频工具并处理项目、媒体和存储操作；dsh-client-ui-evidence 展示只读证据总览；dsh-client-ui-workbench 提供剪辑工作台。核心工具在 DSH 进程内执行，避免额外服务的部署、认证和状态同步。</w:t>
      </w:r>
    </w:p>
    <w:p>
      <w:r>
        <w:t>用户导入素材后，插件读取媒体信息并将源文件上传 OSS，随后生成项目索引。分析任务会把本地 FFmpeg 结果和云端模型结果写入证据数据。自然语言检索返回带时间区间的结果；用户确认剪辑方案后，工具将区间转成时间线片段；导出时再由 FFmpeg 按时间线顺序拼接、处理字幕及音视频参数。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DCE6F1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位置</w:t>
            </w:r>
          </w:p>
        </w:tc>
        <w:tc>
          <w:tcPr>
            <w:tcW w:type="dxa" w:w="4824"/>
            <w:vAlign w:val="center"/>
            <w:shd w:fill="DCE6F1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实现内容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sz w:val="19"/>
              </w:rPr>
              <w:t>浏览器端</w:t>
            </w:r>
          </w:p>
        </w:tc>
        <w:tc>
          <w:tcPr>
            <w:tcW w:type="dxa" w:w="482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sz w:val="19"/>
              </w:rPr>
              <w:t>DSH Web 客户端；证据面板和剪辑工作台插件。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sz w:val="19"/>
              </w:rPr>
              <w:t>工具端</w:t>
            </w:r>
          </w:p>
        </w:tc>
        <w:tc>
          <w:tcPr>
            <w:tcW w:type="dxa" w:w="482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sz w:val="19"/>
              </w:rPr>
              <w:t>video-workspace 插件注册项目、素材、分析、检索、编辑、版本及导出工具。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sz w:val="19"/>
              </w:rPr>
              <w:t>本地处理</w:t>
            </w:r>
          </w:p>
        </w:tc>
        <w:tc>
          <w:tcPr>
            <w:tcW w:type="dxa" w:w="482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sz w:val="19"/>
              </w:rPr>
              <w:t>FFmpeg/ffprobe 完成媒体探测、声学、镜头、时序分析和渲染。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sz w:val="19"/>
              </w:rPr>
              <w:t>模型服务</w:t>
            </w:r>
          </w:p>
        </w:tc>
        <w:tc>
          <w:tcPr>
            <w:tcW w:type="dxa" w:w="482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sz w:val="19"/>
              </w:rPr>
              <w:t>阿里云百炼兼容接口上的 Qwen Omni，用于视频、语音及画面文字理解。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sz w:val="19"/>
              </w:rPr>
              <w:t>数据存储</w:t>
            </w:r>
          </w:p>
        </w:tc>
        <w:tc>
          <w:tcPr>
            <w:tcW w:type="dxa" w:w="482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sz w:val="19"/>
              </w:rPr>
              <w:t>本地 SQLite 保存项目索引和工具数据；OSS 保存素材与导出文件。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 时间码可信与编辑一致性</w:t>
      </w:r>
    </w:p>
    <w:p>
      <w:r>
        <w:t>长视频剪辑中，模型回答的时间码如果与原片不符，会直接导致错误剪辑。系统将“发现内容”和“修改时间线”分开：检索工具返回实际分析得到的起止时间，方案中的每段引用这些证据；没有证据支持的时间范围不进入编辑。</w:t>
      </w:r>
    </w:p>
    <w:p>
      <w:r>
        <w:t>时间线采用 revision 版本控制。修改请求必须带上读取到的 base_revision；如果当前版本已变化，系统拒绝请求并要求重新读取，避免旧操作覆盖新修改。编辑前保存快照，回滚也产生新的版本号，因此操作历史可追踪。</w:t>
      </w:r>
    </w:p>
    <w:p>
      <w:pPr>
        <w:pStyle w:val="Heading2"/>
        <w:keepNext/>
      </w:pPr>
      <w:r>
        <w:t>3. 本地与云端处理边界</w:t>
      </w:r>
    </w:p>
    <w:p>
      <w:r>
        <w:t>声学、镜头和停顿等信号不需要语义推理，放在本地计算可减少模型费用，也便于重复处理。转写、屏幕文字和画面描述需要理解内容，交给多模态模型。各维度单独记录状态，模型调用失败时只报告缺失或失败，不将其它维度的结果冒充为完整分析。</w:t>
      </w:r>
    </w:p>
    <w:p>
      <w:pPr>
        <w:pStyle w:val="Heading2"/>
        <w:keepNext/>
      </w:pPr>
      <w:r>
        <w:t>4. 媒体存储与播放</w:t>
      </w:r>
    </w:p>
    <w:p>
      <w:r>
        <w:t>源视频和成片由 OSS 保存，浏览器播放通过插件的只读媒体路由读取；路由支持 Range 请求，以适配视频播放器的分段读取。导入流程先确认上传结果，再按配置决定是否删除本地源文件。删除素材或项目时，工具管理本地索引关系；OSS 对象的生命周期按现有实现保留，避免把索引删除误当成文件已清理。</w:t>
      </w:r>
    </w:p>
    <w:p>
      <w:pPr>
        <w:pStyle w:val="Heading2"/>
        <w:keepNext/>
      </w:pPr>
      <w:r>
        <w:t>5. 当前限制</w:t>
      </w:r>
    </w:p>
    <w:p>
      <w:pPr>
        <w:pStyle w:val="ListBullet"/>
        <w:spacing w:after="60"/>
      </w:pPr>
      <w:r>
        <w:t>云端语义分析依赖模型服务、网络和有效凭据；无模型服务时只能使用本地证据维度。</w:t>
      </w:r>
    </w:p>
    <w:p>
      <w:pPr>
        <w:pStyle w:val="ListBullet"/>
        <w:spacing w:after="60"/>
      </w:pPr>
      <w:r>
        <w:t>模型生成的画面描述和转写仍可能存在识别错误，用户应通过原片播放器核对后再编辑。</w:t>
      </w:r>
    </w:p>
    <w:p>
      <w:pPr>
        <w:pStyle w:val="ListBullet"/>
        <w:spacing w:after="60"/>
      </w:pPr>
      <w:r>
        <w:t>渲染能力受 FFmpeg 编码器、字体和输入媒体格式影响；部署环境需安装 FFmpeg/ffprobe，烧录字幕还需可用字体。</w:t>
      </w:r>
    </w:p>
    <w:p>
      <w:pPr>
        <w:pStyle w:val="ListBullet"/>
        <w:spacing w:after="60"/>
      </w:pPr>
      <w:r>
        <w:t>系统目前围绕单个用户的本地 DSH 工作区设计，未在项目中提供多人协作权限、云端团队空间或完整资产生命周期管理。</w:t>
      </w:r>
    </w:p>
    <w:p>
      <w:pPr>
        <w:pStyle w:val="Heading2"/>
        <w:keepNext/>
      </w:pPr>
      <w:r>
        <w:t>（2）特色分析</w:t>
      </w:r>
    </w:p>
    <w:p>
      <w:pPr>
        <w:pStyle w:val="ListBullet"/>
        <w:spacing w:after="60"/>
      </w:pPr>
      <w:r>
        <w:t>按内容定位素材：用户描述内容即可检索时间段，减少手动拖动进度条寻找片段的时间。</w:t>
      </w:r>
    </w:p>
    <w:p>
      <w:pPr>
        <w:pStyle w:val="ListBullet"/>
        <w:spacing w:after="60"/>
      </w:pPr>
      <w:r>
        <w:t>证据与时间线关联：检索结果、证据轨道和剪辑片段使用同一素材时间坐标，用户能从方案回到原片核验。</w:t>
      </w:r>
    </w:p>
    <w:p>
      <w:pPr>
        <w:pStyle w:val="ListBullet"/>
        <w:spacing w:after="60"/>
      </w:pPr>
      <w:r>
        <w:t>方案经确认再编辑：先展示选择理由与证据引用，再由用户接受方案写入时间线。</w:t>
      </w:r>
    </w:p>
    <w:p>
      <w:pPr>
        <w:pStyle w:val="ListBullet"/>
        <w:spacing w:after="60"/>
      </w:pPr>
      <w:r>
        <w:t>编辑过程可追溯：版本冲突会显式报错，编辑前留存快照，支持查看和回滚。</w:t>
      </w:r>
    </w:p>
    <w:p>
      <w:pPr>
        <w:pStyle w:val="ListBullet"/>
        <w:spacing w:after="60"/>
      </w:pPr>
      <w:r>
        <w:t>轻重任务分开处理：适合本地计算的分析留在本地，需要语义理解的环节调用多模态模型。</w:t>
      </w:r>
    </w:p>
    <w:p>
      <w:pPr>
        <w:pStyle w:val="ListBullet"/>
        <w:spacing w:after="60"/>
      </w:pPr>
      <w:r>
        <w:t>工作台与工具共用状态：界面操作经过 DSH 工具层，避免浏览器展示的时间线与实际项目数据各自变化。</w:t>
      </w:r>
    </w:p>
    <w:p>
      <w:pPr>
        <w:pStyle w:val="Heading1"/>
        <w:keepNext/>
      </w:pPr>
      <w:r>
        <w:t>五、团队介绍和人员分工</w:t>
      </w:r>
    </w:p>
    <w:p>
      <w:r>
        <w:t>以下信息请按实际参赛团队填写，当前项目仓库未提供成员名单和指导教师信息。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CE6F1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角色</w:t>
            </w:r>
          </w:p>
        </w:tc>
        <w:tc>
          <w:tcPr>
            <w:tcW w:type="dxa" w:w="3216"/>
            <w:vAlign w:val="center"/>
            <w:shd w:fill="DCE6F1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姓名</w:t>
            </w:r>
          </w:p>
        </w:tc>
        <w:tc>
          <w:tcPr>
            <w:tcW w:type="dxa" w:w="3216"/>
            <w:vAlign w:val="center"/>
            <w:shd w:fill="DCE6F1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主要分工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sz w:val="19"/>
              </w:rPr>
              <w:t>队长</w:t>
            </w:r>
          </w:p>
        </w:tc>
        <w:tc>
          <w:tcPr>
            <w:tcW w:type="dxa" w:w="3216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sz w:val="19"/>
              </w:rPr>
              <w:t>________________</w:t>
            </w:r>
          </w:p>
        </w:tc>
        <w:tc>
          <w:tcPr>
            <w:tcW w:type="dxa" w:w="3216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sz w:val="19"/>
              </w:rPr>
              <w:t>总体设计、进度协调、________________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sz w:val="19"/>
              </w:rPr>
              <w:t>队员</w:t>
            </w:r>
          </w:p>
        </w:tc>
        <w:tc>
          <w:tcPr>
            <w:tcW w:type="dxa" w:w="3216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sz w:val="19"/>
              </w:rPr>
              <w:t>________________</w:t>
            </w:r>
          </w:p>
        </w:tc>
        <w:tc>
          <w:tcPr>
            <w:tcW w:type="dxa" w:w="3216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sz w:val="19"/>
              </w:rPr>
              <w:t>核心工具与媒体处理、________________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sz w:val="19"/>
              </w:rPr>
              <w:t>队员</w:t>
            </w:r>
          </w:p>
        </w:tc>
        <w:tc>
          <w:tcPr>
            <w:tcW w:type="dxa" w:w="3216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sz w:val="19"/>
              </w:rPr>
              <w:t>________________</w:t>
            </w:r>
          </w:p>
        </w:tc>
        <w:tc>
          <w:tcPr>
            <w:tcW w:type="dxa" w:w="3216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sz w:val="19"/>
              </w:rPr>
              <w:t>交互界面与工作台、________________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sz w:val="19"/>
              </w:rPr>
              <w:t>队员</w:t>
            </w:r>
          </w:p>
        </w:tc>
        <w:tc>
          <w:tcPr>
            <w:tcW w:type="dxa" w:w="3216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sz w:val="19"/>
              </w:rPr>
              <w:t>________________</w:t>
            </w:r>
          </w:p>
        </w:tc>
        <w:tc>
          <w:tcPr>
            <w:tcW w:type="dxa" w:w="3216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sz w:val="19"/>
              </w:rPr>
              <w:t>测试验收、文档与演示、________________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sz w:val="19"/>
              </w:rPr>
              <w:t>指导教师</w:t>
            </w:r>
          </w:p>
        </w:tc>
        <w:tc>
          <w:tcPr>
            <w:tcW w:type="dxa" w:w="3216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sz w:val="19"/>
              </w:rPr>
              <w:t>________________</w:t>
            </w:r>
          </w:p>
        </w:tc>
        <w:tc>
          <w:tcPr>
            <w:tcW w:type="dxa" w:w="3216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sz w:val="19"/>
              </w:rPr>
              <w:t>________________</w:t>
            </w:r>
          </w:p>
        </w:tc>
      </w:tr>
    </w:tbl>
    <w:p>
      <w:pPr>
        <w:spacing w:after="20"/>
      </w:pPr>
    </w:p>
    <w:p>
      <w:r>
        <w:t>所在学校：________________________　团队名称：________________________</w:t>
      </w:r>
    </w:p>
    <w:p>
      <w:pPr>
        <w:pStyle w:val="Heading1"/>
        <w:keepNext/>
      </w:pPr>
      <w:r>
        <w:t>六、其他</w:t>
      </w:r>
    </w:p>
    <w:p>
      <w:pPr>
        <w:pStyle w:val="Heading2"/>
        <w:keepNext/>
      </w:pPr>
      <w:r>
        <w:t>部署和运行条件</w:t>
      </w:r>
    </w:p>
    <w:p>
      <w:r>
        <w:t>开发与运行环境要求 Node.js 22.19 或更高版本（推荐 24）、pnpm、FFmpeg/ffprobe。Linux 部署还需 C 编译器及中文字体。模型服务使用阿里云百炼兼容接口，媒体对象存储使用阿里云 OSS。具体配置项见仓库 README.md。</w:t>
      </w:r>
    </w:p>
    <w:p>
      <w:pPr>
        <w:pStyle w:val="Heading2"/>
        <w:keepNext/>
      </w:pPr>
      <w:r>
        <w:t>账号与数据安全</w:t>
      </w:r>
    </w:p>
    <w:p>
      <w:r>
        <w:t>模型 API Key、OSS 密钥、Web 登录账号和密码通过环境变量配置，不应写入提交仓库的文档或代码。服务默认绑定回环地址；对外访问应由受控反向代理提供。OSS Bucket 建议保持私有。</w:t>
      </w:r>
    </w:p>
    <w:p>
      <w:pPr>
        <w:pStyle w:val="Heading2"/>
        <w:keepNext/>
      </w:pPr>
      <w:r>
        <w:t>导入行为说明</w:t>
      </w:r>
    </w:p>
    <w:p>
      <w:r>
        <w:t>video_import 默认在 OSS 上传成功后删除本地源文件。若需保留原始素材，应将 keepSourceFiles 设为 true。该选项应在正式导入前核实，尤其是素材只有一份副本时。</w:t>
      </w:r>
    </w:p>
    <w:p>
      <w:pPr>
        <w:pStyle w:val="Heading2"/>
        <w:keepNext/>
      </w:pPr>
      <w:r>
        <w:t>项目与开源基座</w:t>
      </w:r>
    </w:p>
    <w:p>
      <w:r>
        <w:t>仓库包含 DSH 基座源码以保证构建和验收一致。基座部分遵循其原始许可；goclip 插件和面板为本项目实现。参赛材料如需发布，应按各依赖、模型和素材的实际许可逐项核对。</w:t>
      </w:r>
    </w:p>
    <w:p>
      <w:pPr>
        <w:pStyle w:val="Heading1"/>
        <w:keepNext/>
      </w:pPr>
      <w:r>
        <w:t>七、致谢</w:t>
      </w:r>
    </w:p>
    <w:p>
      <w:r>
        <w:t>感谢大赛提供展示和交流的机会，感谢开源社区在运行基座、媒体处理和界面开发方面提供的工具与资料。作品使用的第三方组件、模型和素材将在正式提交版本中按其许可要求注明。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C"/>
        <w:sz w:val="16"/>
      </w:rPr>
      <w:t>2026 年华北五省（市、自治区）及港澳台大学生计算机应用大赛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/>
        <w:color w:val="78828C"/>
        <w:sz w:val="16"/>
      </w:rPr>
      <w:t>goclip 智能剪辑助手｜设计文档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245A8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245A8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黑体" w:hAnsi="黑体" w:eastAsia="黑体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goclip 智能剪辑助手设计文档</dc:title>
  <dc:subject>2026年华北五省（市、自治区）及港澳台大学生计算机应用大赛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