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T06：墨点测试披露方与风铃测试接收方；纯虚构保密样本。</w:t>
      </w:r>
    </w:p>
    <w:p>
      <w:r>
        <w:t>双方履行保密义务；技术附件和DPA未提供。</w:t>
      </w:r>
    </w:p>
    <w:p>
      <w:r>
        <w:t>公开信息例外以非披露方过错公开为准，角色和公开原因需核对。</w:t>
      </w:r>
    </w:p>
    <w:p>
      <w:r>
        <w:t>安全事件须在72个工作小时通知披露方；未定义工作小时起算方式。</w:t>
      </w:r>
    </w:p>
    <w:p>
      <w:r>
        <w:t>保密五年；商业秘密另行存续。不得机械认定期限违法。</w:t>
      </w:r>
    </w:p>
    <w:p>
      <w:r>
        <w:t>广泛训练授权与现有保密安排的相互影响待核实。</w:t>
      </w:r>
    </w:p>
    <w:sectPr/>
  </w:body>
</w:document>
</file>