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T06：星砂测试采购方与纸舟测试供货方。全部名称与金额独立虚构。</w:t>
      </w:r>
    </w:p>
    <w:p>
      <w:r>
        <w:t>标的：虚构纸卡十份；交付以附件《测试采购SOW》为准。</w:t>
      </w:r>
    </w:p>
    <w:p>
      <w:r>
        <w:t>价款：101元。</w:t>
      </w:r>
    </w:p>
    <w:p>
      <w:r>
        <w:t>付款比例：60%。</w:t>
      </w:r>
    </w:p>
    <w:p>
      <w:r>
        <w:t>付款比例：50%。</w:t>
      </w:r>
    </w:p>
    <w:p>
      <w:r>
        <w:t>采购方于签收后三个测试日确认数量；样本未提供授权书和账户证据。</w:t>
      </w:r>
    </w:p>
    <w:p>
      <w:r>
        <w:t>保证安排应在尾条核实，未说明保证方式。</w:t>
      </w:r>
    </w:p>
    <w:sectPr/>
  </w:body>
</w:document>
</file>