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合同审查合同对方工作稿</w:t>
      </w:r>
    </w:p>
    <w:p>
      <w:r>
        <w:t>本草案仅列经本案律师明确批准对外范围的人工修改及说明。真实模型未运行；请逐项核对文字，未形成正式合同变更或法律意见。</w:t>
      </w:r>
    </w:p>
    <w:p>
      <w:pPr>
        <w:pStyle w:val="Heading1"/>
      </w:pPr>
      <w:r>
        <w:t>使用范围与材料限制</w:t>
      </w:r>
    </w:p>
    <w:p>
      <w:r>
        <w:t>DRAFT 本机人工工作稿 真实模型未运行 非正式法律意见</w:t>
      </w:r>
    </w:p>
    <w:p>
      <w:r>
        <w:t>QCC未查询 不能确认现实记录不存在或认定无风险</w:t>
      </w:r>
    </w:p>
    <w:p>
      <w:r>
        <w:t>现实法源及法律验收未获批准 人工候选和处置不构成已核法律结论</w:t>
      </w:r>
    </w:p>
    <w:p>
      <w:pPr>
        <w:pStyle w:val="Heading1"/>
      </w:pPr>
      <w:r>
        <w:t>已批准的人工修改文字</w:t>
      </w:r>
    </w:p>
    <w:p>
      <w:r>
        <w:t>当前没有经本案律师批准的修改文字。</w:t>
      </w:r>
    </w:p>
    <w:p>
      <w:pPr>
        <w:pStyle w:val="Heading1"/>
      </w:pPr>
      <w:r>
        <w:t>需要人工处理的修改</w:t>
      </w:r>
    </w:p>
    <w:p>
      <w:r>
        <w:t>本次所列修改没有未写入的人工项。其他材料及法律判断仍须律师复核。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DRAFT 本机人工工作稿 真实模型未运行 非正式法律意见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DRAFT 本机人工工作稿 真实模型未运行 非正式法律意见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合同审查合同对方工作稿</dc:title>
  <dc:subject>本机合同人工辅助工作稿</dc:subject>
  <dc:creator>本机合同工作台</dc:creator>
  <cp:keywords>DRAFT MANUAL-LOCAL</cp:keywords>
  <dc:description>DRAFT 本机人工工作稿 真实模型未运行 非正式法律意见</dc:description>
  <cp:lastModifiedBy>本机合同工作台</cp:lastModifiedBy>
  <cp:revision>1</cp:revision>
  <dcterms:created xsi:type="dcterms:W3CDTF">2026-10-13T07:38:22Z</dcterms:created>
  <dcterms:modified xsi:type="dcterms:W3CDTF">2026-10-13T07:38:22Z</dcterms:modified>
  <cp:category/>
</cp:coreProperties>
</file>