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T11独立虚构工程材料：edge-01-1</w:t>
      </w:r>
    </w:p>
    <w:p>
      <w:r>
        <w:t xml:space="preserve">虚构模糊价款片段</w:t>
      </w:r>
    </w:p>
    <w:p>
      <w:r>
        <w:t xml:space="preserve">价款：□模糊□元。原始扫描图未提供，不可据此猜测金额。</w:t>
      </w:r>
    </w:p>
    <w:p>
      <w:r>
        <w:t xml:space="preserve">文本框列有尚未读出的补充条款。</w:t>
      </w:r>
    </w:p>
    <w:p>
      <w:r>
        <w:t xml:space="preserve">价款：133元。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工程情景原文描述：客户A请求检索客户B合同</w:t>
      </w:r>
    </w:p>
    <w:p>
      <w:r>
        <w:t xml:space="preserve">工程情景原文描述：A包AGPL直接进入运行目录</w:t>
      </w:r>
    </w:p>
    <w:p>
      <w:r>
        <w:pict>
          <v:shape>
            <v:textbox>
              <w:txbxContent>
                <w:p>
                  <w:r>
                    <w:t>文本框未读价款</w:t>
                  </w:r>
                </w:p>
              </w:txbxContent>
            </v:textbox>
          </v:shape>
        </w:pict>
      </w:r>
    </w:p>
    <w:sectPr/>
  </w:body>
</w:document>
</file>