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T11独立虚构工程材料：edge-04-1</w:t>
      </w:r>
    </w:p>
    <w:p>
      <w:r>
        <w:t xml:space="preserve">虚构对象风险片段</w:t>
      </w:r>
    </w:p>
    <w:p>
      <w:r>
        <w:t xml:space="preserve">合同引用一个外部对象，解析器不得执行或自动联网。</w:t>
      </w:r>
    </w:p>
    <w:p>
      <w:r>
        <w:t xml:space="preserve">危险压缩包行为由注册工程断言生成独立攻击文件验证。</w:t>
      </w:r>
    </w:p>
    <w:p>
      <w:r>
        <w:t xml:space="preserve">价款：136元。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工程情景原文描述：删除案件后共享索引仍能搜到摘要</w:t>
      </w:r>
    </w:p>
    <w:p>
      <w:r>
        <w:t xml:space="preserve">工程情景原文描述：审批后修改客户立场、事实或规则</w:t>
      </w:r>
    </w:p>
    <w:sectPr/>
  </w:body>
</w:document>
</file>