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T11独立虚构工程材料：edge-05-1</w:t>
      </w:r>
    </w:p>
    <w:p>
      <w:r>
        <w:t xml:space="preserve">虚构工作小时片段</w:t>
      </w:r>
    </w:p>
    <w:p>
      <w:r>
        <w:t xml:space="preserve">发生安全事件后72个工作小时通知委托方。</w:t>
      </w:r>
    </w:p>
    <w:p>
      <w:r>
        <w:t xml:space="preserve">工作时间和自然时间、通知对象与法域仍须人工核实。</w:t>
      </w:r>
    </w:p>
    <w:p>
      <w:r>
        <w:t xml:space="preserve">价款：137元。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工程情景原文描述：相同句子在正文和附件各出现一次</w:t>
      </w:r>
    </w:p>
    <w:p>
      <w:r>
        <w:t xml:space="preserve">工程情景原文描述：超时/崩溃时已发送付费请求</w:t>
      </w:r>
    </w:p>
    <w:sectPr/>
  </w:body>
</w:document>
</file>