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T11独立虚构工程材料：edge-08-1</w:t>
      </w:r>
    </w:p>
    <w:p>
      <w:r>
        <w:t xml:space="preserve">虚构未知计费片段</w:t>
      </w:r>
    </w:p>
    <w:p>
      <w:r>
        <w:t xml:space="preserve">查询可能已经发送而扣费尚未确认；企业月cap=100不含全部关联人。</w:t>
      </w:r>
    </w:p>
    <w:p>
      <w:r>
        <w:t xml:space="preserve">该片段不能证明查询已运行；实际账本与恢复由固定工程断言核验。</w:t>
      </w:r>
    </w:p>
    <w:p>
      <w:r>
        <w:t xml:space="preserve">价款：140元。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工程情景原文描述：审查后原件被客户改动</w:t>
      </w:r>
    </w:p>
    <w:p>
      <w:r>
        <w:t xml:space="preserve">工程情景原文描述：把cap=100积分解读为所有人/服务总封顶</w:t>
      </w:r>
    </w:p>
    <w:sectPr/>
  </w:body>
</w:document>
</file>