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T11独立虚构工程材料：lease-dev-5</w:t>
      </w:r>
    </w:p>
    <w:p>
      <w:r>
        <w:t xml:space="preserve">虚构仓储区域租赁安排</w:t>
      </w:r>
    </w:p>
    <w:p>
      <w:r>
        <w:t xml:space="preserve">出租方提供标识明确的存储区域，承租方按入库记录使用。</w:t>
      </w:r>
    </w:p>
    <w:p>
      <w:r>
        <w:t xml:space="preserve">货物保管和建筑维护分列，消防通道不得用于临时堆货。</w:t>
      </w:r>
    </w:p>
    <w:p>
      <w:r>
        <w:t xml:space="preserve">每月交接表记录水电和设施状况，搬离时对照初始盘点表。</w:t>
      </w:r>
    </w:p>
    <w:p>
      <w:r>
        <w:t xml:space="preserve">价款：121元。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工程情景原文描述：QCC返回401/权限不足</w:t>
      </w:r>
    </w:p>
    <w:p>
      <w:r>
        <w:t xml:space="preserve">工程情景原文描述：同名企业返回多个候选</w:t>
      </w:r>
    </w:p>
    <w:sectPr/>
  </w:body>
</w:document>
</file>