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T11独立虚构工程材料：nda-blind-1</w:t>
      </w:r>
    </w:p>
    <w:p>
      <w:r>
        <w:t xml:space="preserve">虚构投资尽调资料室约定</w:t>
      </w:r>
    </w:p>
    <w:p>
      <w:r>
        <w:t xml:space="preserve">资料提供方开放受控财务资料室，考察方按访问清单核对使用范围。</w:t>
      </w:r>
    </w:p>
    <w:p>
      <w:r>
        <w:t xml:space="preserve">问题答复与阅览笔记分别保存，不因此转让材料知识产权。</w:t>
      </w:r>
    </w:p>
    <w:p>
      <w:r>
        <w:t xml:space="preserve">项目结束后关闭访问账户，保留与销毁事项由双方书面确认。</w:t>
      </w:r>
    </w:p>
    <w:p>
      <w:r>
        <w:t xml:space="preserve">价款：130元。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工程情景原文描述：企查查企业工具查不到宗教活动场所</w:t>
      </w:r>
    </w:p>
    <w:p>
      <w:r>
        <w:t xml:space="preserve">工程情景原文描述：G04目标条款在表格/文本框内</w:t>
      </w:r>
    </w:p>
    <w:sectPr/>
  </w:body>
</w:document>
</file>