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T11独立虚构工程材料：sales-blind-1</w:t>
      </w:r>
    </w:p>
    <w:p>
      <w:r>
        <w:t xml:space="preserve">虚构原料分批交付协议</w:t>
      </w:r>
    </w:p>
    <w:p>
      <w:r>
        <w:t xml:space="preserve">买方按每批原料的检验记录确定接收数量，残次批次分别处理。</w:t>
      </w:r>
    </w:p>
    <w:p>
      <w:r>
        <w:t xml:space="preserve">原料留仓期间的质量封样和交接由双方指定人员记录。</w:t>
      </w:r>
    </w:p>
    <w:p>
      <w:r>
        <w:t xml:space="preserve">返工后再次抽检，剩余料不自动并入下一期采购。</w:t>
      </w:r>
    </w:p>
    <w:p>
      <w:r>
        <w:t xml:space="preserve">价款：106元。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工程情景原文描述：正文与附件金额冲突</w:t>
      </w:r>
    </w:p>
    <w:p>
      <w:r>
        <w:t xml:space="preserve">工程情景原文描述：同一合同切换已签与未签</w:t>
      </w:r>
    </w:p>
    <w:sectPr/>
  </w:body>
</w:document>
</file>