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T11独立虚构工程材料：service-blind-1</w:t>
      </w:r>
    </w:p>
    <w:p>
      <w:r>
        <w:t xml:space="preserve">虚构展览现场执行委托</w:t>
      </w:r>
    </w:p>
    <w:p>
      <w:r>
        <w:t xml:space="preserve">执行方按布场、开放日和撤场三个节点提交现场签认记录。</w:t>
      </w:r>
    </w:p>
    <w:p>
      <w:r>
        <w:t xml:space="preserve">委托方自备品牌素材，施工班组自行承担工具和安全检查。</w:t>
      </w:r>
    </w:p>
    <w:p>
      <w:r>
        <w:t xml:space="preserve">结算以节点签认及交付清单为依据，素材授权与场地手续单独核实。</w:t>
      </w:r>
    </w:p>
    <w:p>
      <w:r>
        <w:t xml:space="preserve">价款：114元。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工程情景原文描述：提供公司法司法解释征求意见稿</w:t>
      </w:r>
    </w:p>
    <w:p>
      <w:r>
        <w:t xml:space="preserve">工程情景原文描述：保密5年、商业秘密另行存续</w:t>
      </w:r>
    </w:p>
    <w:sectPr/>
  </w:body>
</w:document>
</file>