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v="urn:schemas-microsoft-com:vml">
  <w:body>
    <w:p>
      <w:r>
        <w:t xml:space="preserve">T11独立虚构工程材料：service-dev-2</w:t>
      </w:r>
    </w:p>
    <w:p>
      <w:r>
        <w:t xml:space="preserve">虚构软件维护工单协议</w:t>
      </w:r>
    </w:p>
    <w:p>
      <w:r>
        <w:t xml:space="preserve">委托方提交工单，维护方记录故障级别与处理时段。</w:t>
      </w:r>
    </w:p>
    <w:p>
      <w:r>
        <w:t xml:space="preserve">维护边界以设备清单为准，紧急支持的响应和修复分别约定。</w:t>
      </w:r>
    </w:p>
    <w:p>
      <w:r>
        <w:t xml:space="preserve">服务小时结算独立于许可证购买，不授权使用客户数据训练模型。</w:t>
      </w:r>
    </w:p>
    <w:p>
      <w:r>
        <w:t xml:space="preserve">价款：110元。</w:t>
      </w:r>
    </w:p>
    <w:p>
      <w:r>
        <w:t xml:space="preserve">付款比例：60%。</w:t>
      </w:r>
    </w:p>
    <w:p>
      <w:r>
        <w:t xml:space="preserve">付款比例：50%。</w:t>
      </w:r>
    </w:p>
    <w:p>
      <w:r>
        <w:t xml:space="preserve">工程情景原文描述：30%预付款被称为违法定金</w:t>
      </w:r>
    </w:p>
    <w:p>
      <w:r>
        <w:t xml:space="preserve">工程情景原文描述：一月“已支付”责任上限＋年度预付假设</w:t>
      </w:r>
    </w:p>
    <w:sectPr/>
  </w:body>
</w:document>
</file>