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莞客松现场搭建清单与场地执行版动线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莞客松现场搭建清单与场地执行版动线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活动名称</w:t>
      </w:r>
      <w:r>
        <w:rPr>
          <w:rFonts w:eastAsia="等线" w:ascii="Arial" w:cs="Arial" w:hAnsi="Arial"/>
          <w:sz w:val="22"/>
        </w:rPr>
        <w:t>：莞客松</w:t>
        <w:br/>
      </w:r>
      <w:r>
        <w:rPr>
          <w:rFonts w:eastAsia="等线" w:ascii="Arial" w:cs="Arial" w:hAnsi="Arial"/>
          <w:b w:val="true"/>
          <w:sz w:val="22"/>
        </w:rPr>
        <w:t>活动时间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b w:val="true"/>
          <w:sz w:val="22"/>
        </w:rPr>
        <w:t>适用对象</w:t>
      </w:r>
      <w:r>
        <w:rPr>
          <w:rFonts w:eastAsia="等线" w:ascii="Arial" w:cs="Arial" w:hAnsi="Arial"/>
          <w:sz w:val="22"/>
        </w:rPr>
        <w:t>：现场统筹组、搭建组、物料组、执行组</w:t>
        <w:br/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一、执行说明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本文件用于指导莞客松活动现场的功能区落位、人员动线安排、物料摆放及现场搭建执行。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活动现场所有搭建、摆放、布置及临时调整，以本文件及配套《场馆基础平面图》《活动布置图》为准。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执行原则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优先保证签到区、舞台区、选手创作区、评审区正常运行。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优先保证评委动线、选手动线畅通。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所有物料不得遮挡出入口、主通道、消防通道。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如现场条件与图纸不一致，第一时间反馈现场统筹统一调整。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二、场地功能区落位说明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签到区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设置位置</w:t>
      </w:r>
      <w:r>
        <w:rPr>
          <w:rFonts w:eastAsia="等线" w:ascii="Arial" w:cs="Arial" w:hAnsi="Arial"/>
          <w:sz w:val="22"/>
        </w:rPr>
        <w:t>： 报告厅正门外</w:t>
        <w:br/>
      </w:r>
      <w:r>
        <w:rPr>
          <w:rFonts w:eastAsia="等线" w:ascii="Arial" w:cs="Arial" w:hAnsi="Arial"/>
          <w:b w:val="true"/>
          <w:sz w:val="22"/>
        </w:rPr>
        <w:t>主要用途</w:t>
      </w:r>
      <w:r>
        <w:rPr>
          <w:rFonts w:eastAsia="等线" w:ascii="Arial" w:cs="Arial" w:hAnsi="Arial"/>
          <w:sz w:val="22"/>
        </w:rPr>
        <w:t>：来宾签到、选手签到、物料发放、现场引导</w:t>
        <w:br/>
      </w:r>
      <w:r>
        <w:rPr>
          <w:rFonts w:eastAsia="等线" w:ascii="Arial" w:cs="Arial" w:hAnsi="Arial"/>
          <w:b w:val="true"/>
          <w:sz w:val="22"/>
        </w:rPr>
        <w:t>配套物料</w:t>
      </w:r>
      <w:r>
        <w:rPr>
          <w:rFonts w:eastAsia="等线" w:ascii="Arial" w:cs="Arial" w:hAnsi="Arial"/>
          <w:sz w:val="22"/>
        </w:rPr>
        <w:t>：签到桌、签到牌、胸牌/手环、签到指示 KT 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执行要求：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不得遮挡入口及主通道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需预留排队空间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签到后人员可顺畅进入主活动区域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开幕 / 闭幕舞台区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设置位置</w:t>
      </w:r>
      <w:r>
        <w:rPr>
          <w:rFonts w:eastAsia="等线" w:ascii="Arial" w:cs="Arial" w:hAnsi="Arial"/>
          <w:sz w:val="22"/>
        </w:rPr>
        <w:t>：主场地正前方 / 固定舞台区域</w:t>
        <w:br/>
      </w:r>
      <w:r>
        <w:rPr>
          <w:rFonts w:eastAsia="等线" w:ascii="Arial" w:cs="Arial" w:hAnsi="Arial"/>
          <w:b w:val="true"/>
          <w:sz w:val="22"/>
        </w:rPr>
        <w:t>主要用途</w:t>
      </w:r>
      <w:r>
        <w:rPr>
          <w:rFonts w:eastAsia="等线" w:ascii="Arial" w:cs="Arial" w:hAnsi="Arial"/>
          <w:sz w:val="22"/>
        </w:rPr>
        <w:t>：开幕、闭幕、路演、颁奖、主持控场</w:t>
        <w:br/>
      </w:r>
      <w:r>
        <w:rPr>
          <w:rFonts w:eastAsia="等线" w:ascii="Arial" w:cs="Arial" w:hAnsi="Arial"/>
          <w:b w:val="true"/>
          <w:sz w:val="22"/>
        </w:rPr>
        <w:t>配套物料</w:t>
      </w:r>
      <w:r>
        <w:rPr>
          <w:rFonts w:eastAsia="等线" w:ascii="Arial" w:cs="Arial" w:hAnsi="Arial"/>
          <w:sz w:val="22"/>
        </w:rPr>
        <w:t>：主持台、话筒、音响、投影 / 屏幕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执行要求：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舞台区插电点位优先保障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选手创作区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设置位置</w:t>
      </w:r>
      <w:r>
        <w:rPr>
          <w:rFonts w:eastAsia="等线" w:ascii="Arial" w:cs="Arial" w:hAnsi="Arial"/>
          <w:sz w:val="22"/>
        </w:rPr>
        <w:t>：主场地核心区域</w:t>
        <w:br/>
      </w:r>
      <w:r>
        <w:rPr>
          <w:rFonts w:eastAsia="等线" w:ascii="Arial" w:cs="Arial" w:hAnsi="Arial"/>
          <w:b w:val="true"/>
          <w:sz w:val="22"/>
        </w:rPr>
        <w:t>主要用途</w:t>
      </w:r>
      <w:r>
        <w:rPr>
          <w:rFonts w:eastAsia="等线" w:ascii="Arial" w:cs="Arial" w:hAnsi="Arial"/>
          <w:sz w:val="22"/>
        </w:rPr>
        <w:t>：选手比赛期间集中创作、讨论、调试</w:t>
        <w:br/>
      </w:r>
      <w:r>
        <w:rPr>
          <w:rFonts w:eastAsia="等线" w:ascii="Arial" w:cs="Arial" w:hAnsi="Arial"/>
          <w:b w:val="true"/>
          <w:sz w:val="22"/>
        </w:rPr>
        <w:t>配套物料</w:t>
      </w:r>
      <w:r>
        <w:rPr>
          <w:rFonts w:eastAsia="等线" w:ascii="Arial" w:cs="Arial" w:hAnsi="Arial"/>
          <w:sz w:val="22"/>
        </w:rPr>
        <w:t>：桌椅、插线板、网络支持、桌号 / 区域牌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执行要求：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按约 80 人规模预留桌椅与活动空间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桌椅摆放保证主通道清晰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插线板优先覆盖创作区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游园会展区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设置位置</w:t>
      </w:r>
      <w:r>
        <w:rPr>
          <w:rFonts w:eastAsia="等线" w:ascii="Arial" w:cs="Arial" w:hAnsi="Arial"/>
          <w:sz w:val="22"/>
        </w:rPr>
        <w:t>：一楼大厅</w:t>
        <w:br/>
      </w:r>
      <w:r>
        <w:rPr>
          <w:rFonts w:eastAsia="等线" w:ascii="Arial" w:cs="Arial" w:hAnsi="Arial"/>
          <w:b w:val="true"/>
          <w:sz w:val="22"/>
        </w:rPr>
        <w:t>主要用途</w:t>
      </w:r>
      <w:r>
        <w:rPr>
          <w:rFonts w:eastAsia="等线" w:ascii="Arial" w:cs="Arial" w:hAnsi="Arial"/>
          <w:sz w:val="22"/>
        </w:rPr>
        <w:t>：游园会摊位展示、互动体验、嘉宾/游客参观</w:t>
        <w:br/>
      </w:r>
      <w:r>
        <w:rPr>
          <w:rFonts w:eastAsia="等线" w:ascii="Arial" w:cs="Arial" w:hAnsi="Arial"/>
          <w:b w:val="true"/>
          <w:sz w:val="22"/>
        </w:rPr>
        <w:t>展位数量</w:t>
      </w:r>
      <w:r>
        <w:rPr>
          <w:rFonts w:eastAsia="等线" w:ascii="Arial" w:cs="Arial" w:hAnsi="Arial"/>
          <w:sz w:val="22"/>
        </w:rPr>
        <w:t>：按 20个展位上限预留</w:t>
        <w:br/>
      </w:r>
      <w:r>
        <w:rPr>
          <w:rFonts w:eastAsia="等线" w:ascii="Arial" w:cs="Arial" w:hAnsi="Arial"/>
          <w:b w:val="true"/>
          <w:sz w:val="22"/>
        </w:rPr>
        <w:t>配套物料</w:t>
      </w:r>
      <w:r>
        <w:rPr>
          <w:rFonts w:eastAsia="等线" w:ascii="Arial" w:cs="Arial" w:hAnsi="Arial"/>
          <w:sz w:val="22"/>
        </w:rPr>
        <w:t>：展位桌椅、指引牌、易拉宝、KT 板、必要供电点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执行要求：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展位之间留足通行空间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预留游客动线与评委动线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如涉及供电，提前确认点位和布线方式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休息站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设置位置</w:t>
      </w:r>
      <w:r>
        <w:rPr>
          <w:rFonts w:eastAsia="等线" w:ascii="Arial" w:cs="Arial" w:hAnsi="Arial"/>
          <w:sz w:val="22"/>
        </w:rPr>
        <w:t>：吧台茶水区与对面空间</w:t>
        <w:br/>
      </w:r>
      <w:r>
        <w:rPr>
          <w:rFonts w:eastAsia="等线" w:ascii="Arial" w:cs="Arial" w:hAnsi="Arial"/>
          <w:b w:val="true"/>
          <w:sz w:val="22"/>
        </w:rPr>
        <w:t>主要用途</w:t>
      </w:r>
      <w:r>
        <w:rPr>
          <w:rFonts w:eastAsia="等线" w:ascii="Arial" w:cs="Arial" w:hAnsi="Arial"/>
          <w:sz w:val="22"/>
        </w:rPr>
        <w:t>：短时休息</w:t>
        <w:br/>
      </w:r>
      <w:r>
        <w:rPr>
          <w:rFonts w:eastAsia="等线" w:ascii="Arial" w:cs="Arial" w:hAnsi="Arial"/>
          <w:b w:val="true"/>
          <w:sz w:val="22"/>
        </w:rPr>
        <w:t>配套物料</w:t>
      </w:r>
      <w:r>
        <w:rPr>
          <w:rFonts w:eastAsia="等线" w:ascii="Arial" w:cs="Arial" w:hAnsi="Arial"/>
          <w:sz w:val="22"/>
        </w:rPr>
        <w:t>：休息座椅、茶歇、小零食、饮品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执行要求：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保证卫生整洁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6. </w:t>
      </w:r>
      <w:r>
        <w:rPr>
          <w:rFonts w:eastAsia="等线" w:ascii="Arial" w:cs="Arial" w:hAnsi="Arial"/>
          <w:b w:val="true"/>
          <w:sz w:val="30"/>
        </w:rPr>
        <w:t>物料后台区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设置位置</w:t>
      </w:r>
      <w:r>
        <w:rPr>
          <w:rFonts w:eastAsia="等线" w:ascii="Arial" w:cs="Arial" w:hAnsi="Arial"/>
          <w:sz w:val="22"/>
        </w:rPr>
        <w:t>：一楼旋转楼梯处</w:t>
        <w:br/>
      </w:r>
      <w:r>
        <w:rPr>
          <w:rFonts w:eastAsia="等线" w:ascii="Arial" w:cs="Arial" w:hAnsi="Arial"/>
          <w:b w:val="true"/>
          <w:sz w:val="22"/>
        </w:rPr>
        <w:t>主要用途</w:t>
      </w:r>
      <w:r>
        <w:rPr>
          <w:rFonts w:eastAsia="等线" w:ascii="Arial" w:cs="Arial" w:hAnsi="Arial"/>
          <w:sz w:val="22"/>
        </w:rPr>
        <w:t>：物料堆放、备用物资、现场调度</w:t>
        <w:br/>
      </w:r>
      <w:r>
        <w:rPr>
          <w:rFonts w:eastAsia="等线" w:ascii="Arial" w:cs="Arial" w:hAnsi="Arial"/>
          <w:b w:val="true"/>
          <w:sz w:val="22"/>
        </w:rPr>
        <w:t>配套物料</w:t>
      </w:r>
      <w:r>
        <w:rPr>
          <w:rFonts w:eastAsia="等线" w:ascii="Arial" w:cs="Arial" w:hAnsi="Arial"/>
          <w:sz w:val="22"/>
        </w:rPr>
        <w:t>：物料箱、胶带、剪刀、扎带、工具箱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执行要求：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不对外开放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保持整洁，方便快速取物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7. </w:t>
      </w:r>
      <w:r>
        <w:rPr>
          <w:rFonts w:eastAsia="等线" w:ascii="Arial" w:cs="Arial" w:hAnsi="Arial"/>
          <w:b w:val="true"/>
          <w:sz w:val="30"/>
        </w:rPr>
        <w:t>夜间气垫区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设置位置</w:t>
      </w:r>
      <w:r>
        <w:rPr>
          <w:rFonts w:eastAsia="等线" w:ascii="Arial" w:cs="Arial" w:hAnsi="Arial"/>
          <w:sz w:val="22"/>
        </w:rPr>
        <w:t>：204活动室 、若干小会议室</w:t>
        <w:br/>
      </w:r>
      <w:r>
        <w:rPr>
          <w:rFonts w:eastAsia="等线" w:ascii="Arial" w:cs="Arial" w:hAnsi="Arial"/>
          <w:b w:val="true"/>
          <w:sz w:val="22"/>
        </w:rPr>
        <w:t>主要用途</w:t>
      </w:r>
      <w:r>
        <w:rPr>
          <w:rFonts w:eastAsia="等线" w:ascii="Arial" w:cs="Arial" w:hAnsi="Arial"/>
          <w:sz w:val="22"/>
        </w:rPr>
        <w:t>：夜间休息</w:t>
        <w:br/>
      </w:r>
      <w:r>
        <w:rPr>
          <w:rFonts w:eastAsia="等线" w:ascii="Arial" w:cs="Arial" w:hAnsi="Arial"/>
          <w:b w:val="true"/>
          <w:sz w:val="22"/>
        </w:rPr>
        <w:t>配套物料</w:t>
      </w:r>
      <w:r>
        <w:rPr>
          <w:rFonts w:eastAsia="等线" w:ascii="Arial" w:cs="Arial" w:hAnsi="Arial"/>
          <w:sz w:val="22"/>
        </w:rPr>
        <w:t>：气垫 / 行军床、基础照明、引导标识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执行要求：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后续以与场地方最终沟通结果为准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8. </w:t>
      </w:r>
      <w:r>
        <w:rPr>
          <w:rFonts w:eastAsia="等线" w:ascii="Arial" w:cs="Arial" w:hAnsi="Arial"/>
          <w:b w:val="true"/>
          <w:sz w:val="30"/>
        </w:rPr>
        <w:t>评审区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设置位置</w:t>
      </w:r>
      <w:r>
        <w:rPr>
          <w:rFonts w:eastAsia="等线" w:ascii="Arial" w:cs="Arial" w:hAnsi="Arial"/>
          <w:sz w:val="22"/>
        </w:rPr>
        <w:t>：2楼活动室204</w:t>
        <w:br/>
      </w:r>
      <w:r>
        <w:rPr>
          <w:rFonts w:eastAsia="等线" w:ascii="Arial" w:cs="Arial" w:hAnsi="Arial"/>
          <w:b w:val="true"/>
          <w:sz w:val="22"/>
        </w:rPr>
        <w:t>主要用途</w:t>
      </w:r>
      <w:r>
        <w:rPr>
          <w:rFonts w:eastAsia="等线" w:ascii="Arial" w:cs="Arial" w:hAnsi="Arial"/>
          <w:sz w:val="22"/>
        </w:rPr>
        <w:t>：评委集中评审、讨论、打分</w:t>
        <w:br/>
      </w:r>
      <w:r>
        <w:rPr>
          <w:rFonts w:eastAsia="等线" w:ascii="Arial" w:cs="Arial" w:hAnsi="Arial"/>
          <w:b w:val="true"/>
          <w:sz w:val="22"/>
        </w:rPr>
        <w:t>配套物料</w:t>
      </w:r>
      <w:r>
        <w:rPr>
          <w:rFonts w:eastAsia="等线" w:ascii="Arial" w:cs="Arial" w:hAnsi="Arial"/>
          <w:sz w:val="22"/>
        </w:rPr>
        <w:t>：会议桌椅、白板（如有）、评分材料、饮用水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执行要求：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尽量安静独立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9. </w:t>
      </w:r>
      <w:r>
        <w:rPr>
          <w:rFonts w:eastAsia="等线" w:ascii="Arial" w:cs="Arial" w:hAnsi="Arial"/>
          <w:b w:val="true"/>
          <w:sz w:val="30"/>
        </w:rPr>
        <w:t>Workshop 区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设置位置</w:t>
      </w:r>
      <w:r>
        <w:rPr>
          <w:rFonts w:eastAsia="等线" w:ascii="Arial" w:cs="Arial" w:hAnsi="Arial"/>
          <w:sz w:val="22"/>
        </w:rPr>
        <w:t>：2楼活动室204、3楼图书室</w:t>
        <w:br/>
      </w:r>
      <w:r>
        <w:rPr>
          <w:rFonts w:eastAsia="等线" w:ascii="Arial" w:cs="Arial" w:hAnsi="Arial"/>
          <w:b w:val="true"/>
          <w:sz w:val="22"/>
        </w:rPr>
        <w:t>主要用途</w:t>
      </w:r>
      <w:r>
        <w:rPr>
          <w:rFonts w:eastAsia="等线" w:ascii="Arial" w:cs="Arial" w:hAnsi="Arial"/>
          <w:sz w:val="22"/>
        </w:rPr>
        <w:t>：Workshop、分享、教学活动</w:t>
        <w:br/>
      </w:r>
      <w:r>
        <w:rPr>
          <w:rFonts w:eastAsia="等线" w:ascii="Arial" w:cs="Arial" w:hAnsi="Arial"/>
          <w:b w:val="true"/>
          <w:sz w:val="22"/>
        </w:rPr>
        <w:t>配套物料</w:t>
      </w:r>
      <w:r>
        <w:rPr>
          <w:rFonts w:eastAsia="等线" w:ascii="Arial" w:cs="Arial" w:hAnsi="Arial"/>
          <w:sz w:val="22"/>
        </w:rPr>
        <w:t>：投影、桌椅、白板、网络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执行要求：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以后续与场地方锁定的教室为准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提前确认投影、网络、插座条件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三、动线说明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选手动线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路线</w:t>
      </w:r>
      <w:r>
        <w:rPr>
          <w:rFonts w:eastAsia="等线" w:ascii="Arial" w:cs="Arial" w:hAnsi="Arial"/>
          <w:sz w:val="22"/>
        </w:rPr>
        <w:t xml:space="preserve">：签到区 → 选手创作区 → 舞台区 </w:t>
        <w:br/>
      </w: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：选手签到、入场、比赛期间通行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执行要求：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动线清晰，不被物料和观众围堵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创作区入口和出口尽量明确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评委动线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路线：</w:t>
      </w:r>
      <w:r>
        <w:rPr>
          <w:rFonts w:eastAsia="等线" w:ascii="Arial" w:cs="Arial" w:hAnsi="Arial"/>
          <w:sz w:val="22"/>
        </w:rPr>
        <w:t xml:space="preserve"> 创作区 → 舞台区/ 评审区 → 游园会展区 /评审区 →Workshop教室</w:t>
        <w:br/>
      </w: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：评委入场、巡展、评审、颁奖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执行要求：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尽量避免与游客主流线重叠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关键时段保证快速通行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游客动线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路线</w:t>
      </w:r>
      <w:r>
        <w:rPr>
          <w:rFonts w:eastAsia="等线" w:ascii="Arial" w:cs="Arial" w:hAnsi="Arial"/>
          <w:sz w:val="22"/>
        </w:rPr>
        <w:t>：入口 → 游园会展区 → 舞台区 → 退出</w:t>
        <w:br/>
      </w: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：参观、互动、观看展示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执行要求：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通过导视和工作人员引导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工作人员动线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路线</w:t>
      </w:r>
      <w:r>
        <w:rPr>
          <w:rFonts w:eastAsia="等线" w:ascii="Arial" w:cs="Arial" w:hAnsi="Arial"/>
          <w:sz w:val="22"/>
        </w:rPr>
        <w:t>：后台区 → 签到区 / 舞台区 / 创作区 / 展区</w:t>
        <w:br/>
      </w: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：补物料、处理突发问题、引导现场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执行要求：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优先沿边线移动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尽量不影响选手和评委通行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动线执行原则</w:t>
      </w:r>
      <w:bookmarkEnd w:id="18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所有动线以现场指引牌、地贴及工作人员引导为准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所有主通道保持畅通，不得堆放物料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遇人流集中时，优先保障评委动线和选手动线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四、现场搭建清单</w:t>
      </w:r>
      <w:bookmarkEnd w:id="19"/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现场搭建清单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五、物料点位清单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hyperlink r:id="rId6">
        <w:r>
          <w:rPr>
            <w:rFonts w:eastAsia="等线" w:ascii="Arial" w:cs="Arial" w:hAnsi="Arial"/>
            <w:b w:val="true"/>
            <w:color w:val="3370ff"/>
            <w:sz w:val="30"/>
          </w:rPr>
          <w:t>物料点位表</w:t>
        </w:r>
      </w:hyperlink>
      <w:bookmarkEnd w:id="21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六、搭建顺序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第一轮</w:t>
      </w:r>
      <w:bookmarkEnd w:id="23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确认各功能区边界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搭建签到区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搭建舞台区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划定后台区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第二轮</w:t>
      </w:r>
      <w:bookmarkEnd w:id="24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摆放创作区桌椅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布创作区插线板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划定游园会展位区域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确认休息区位置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第三轮</w:t>
      </w:r>
      <w:bookmarkEnd w:id="25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摆放易拉宝、KT板、导视牌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安装横幅、背景墙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完成评审区和 Workshop 区补充布置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全场走场检查动线和通道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七、现场检查项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功能区检查</w:t>
      </w:r>
      <w:bookmarkEnd w:id="27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签到区是否挡住入口或主通道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舞台区视线是否完整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创作区桌椅和供电是否满足需求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展区展位是否留足通道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后台区是否独立可用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评审区是否安静、相对独立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物料检查</w:t>
      </w:r>
      <w:bookmarkEnd w:id="28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易拉宝是否摆放到位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横幅、背景墙是否安装到位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KT板内容和位置是否正确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插线板是否覆盖关键区域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白板（如需要）是否到位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动线检查</w:t>
      </w:r>
      <w:bookmarkEnd w:id="29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评委动线是否顺畅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选手动线是否顺畅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游客动线是否清晰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工作人员动线是否不干扰主活动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所有主通道、出入口是否畅通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八、待最终确认事项</w:t>
      </w:r>
      <w:bookmarkEnd w:id="30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待确认事项清单</w:t>
        </w:r>
      </w:hyperlink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九、附件</w:t>
      </w:r>
      <w:bookmarkEnd w:id="31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 1：</w:t>
      </w:r>
      <w:hyperlink r:id="rId8">
        <w:r>
          <w:rPr>
            <w:rFonts w:eastAsia="等线" w:ascii="Arial" w:cs="Arial" w:hAnsi="Arial"/>
            <w:color w:val="3370ff"/>
            <w:sz w:val="22"/>
          </w:rPr>
          <w:t>场馆基础平面图</w:t>
        </w:r>
      </w:hyperlink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 2：</w:t>
      </w:r>
      <w:hyperlink r:id="rId9">
        <w:r>
          <w:rPr>
            <w:rFonts w:eastAsia="等线" w:ascii="Arial" w:cs="Arial" w:hAnsi="Arial"/>
            <w:color w:val="3370ff"/>
            <w:sz w:val="22"/>
          </w:rPr>
          <w:t>活动布置图</w:t>
        </w:r>
      </w:hyperlink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 3：</w:t>
      </w:r>
      <w:hyperlink r:id="rId10">
        <w:r>
          <w:rPr>
            <w:rFonts w:eastAsia="等线" w:ascii="Arial" w:cs="Arial" w:hAnsi="Arial"/>
            <w:color w:val="3370ff"/>
            <w:sz w:val="22"/>
          </w:rPr>
          <w:t>物料点位表</w:t>
        </w:r>
      </w:hyperlink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0581">
    <w:lvl>
      <w:start w:val="1"/>
      <w:numFmt w:val="decimal"/>
      <w:suff w:val="tab"/>
      <w:lvlText w:val="%1."/>
      <w:rPr>
        <w:color w:val="3370ff"/>
      </w:rPr>
    </w:lvl>
  </w:abstractNum>
  <w:abstractNum w:abstractNumId="330582">
    <w:lvl>
      <w:start w:val="2"/>
      <w:numFmt w:val="decimal"/>
      <w:suff w:val="tab"/>
      <w:lvlText w:val="%1."/>
      <w:rPr>
        <w:color w:val="3370ff"/>
      </w:rPr>
    </w:lvl>
  </w:abstractNum>
  <w:abstractNum w:abstractNumId="330583">
    <w:lvl>
      <w:start w:val="3"/>
      <w:numFmt w:val="decimal"/>
      <w:suff w:val="tab"/>
      <w:lvlText w:val="%1."/>
      <w:rPr>
        <w:color w:val="3370ff"/>
      </w:rPr>
    </w:lvl>
  </w:abstractNum>
  <w:abstractNum w:abstractNumId="330584">
    <w:lvl>
      <w:start w:val="4"/>
      <w:numFmt w:val="decimal"/>
      <w:suff w:val="tab"/>
      <w:lvlText w:val="%1."/>
      <w:rPr>
        <w:color w:val="3370ff"/>
      </w:rPr>
    </w:lvl>
  </w:abstractNum>
  <w:abstractNum w:abstractNumId="330585">
    <w:lvl>
      <w:numFmt w:val="bullet"/>
      <w:suff w:val="tab"/>
      <w:lvlText w:val="•"/>
      <w:rPr>
        <w:color w:val="3370ff"/>
      </w:rPr>
    </w:lvl>
  </w:abstractNum>
  <w:abstractNum w:abstractNumId="330586">
    <w:lvl>
      <w:numFmt w:val="bullet"/>
      <w:suff w:val="tab"/>
      <w:lvlText w:val="•"/>
      <w:rPr>
        <w:color w:val="3370ff"/>
      </w:rPr>
    </w:lvl>
  </w:abstractNum>
  <w:abstractNum w:abstractNumId="330587">
    <w:lvl>
      <w:numFmt w:val="bullet"/>
      <w:suff w:val="tab"/>
      <w:lvlText w:val="•"/>
      <w:rPr>
        <w:color w:val="3370ff"/>
      </w:rPr>
    </w:lvl>
  </w:abstractNum>
  <w:abstractNum w:abstractNumId="330588">
    <w:lvl>
      <w:numFmt w:val="bullet"/>
      <w:suff w:val="tab"/>
      <w:lvlText w:val="•"/>
      <w:rPr>
        <w:color w:val="3370ff"/>
      </w:rPr>
    </w:lvl>
  </w:abstractNum>
  <w:abstractNum w:abstractNumId="330589">
    <w:lvl>
      <w:numFmt w:val="bullet"/>
      <w:suff w:val="tab"/>
      <w:lvlText w:val="•"/>
      <w:rPr>
        <w:color w:val="3370ff"/>
      </w:rPr>
    </w:lvl>
  </w:abstractNum>
  <w:abstractNum w:abstractNumId="330590">
    <w:lvl>
      <w:numFmt w:val="bullet"/>
      <w:suff w:val="tab"/>
      <w:lvlText w:val="•"/>
      <w:rPr>
        <w:color w:val="3370ff"/>
      </w:rPr>
    </w:lvl>
  </w:abstractNum>
  <w:abstractNum w:abstractNumId="330591">
    <w:lvl>
      <w:numFmt w:val="bullet"/>
      <w:suff w:val="tab"/>
      <w:lvlText w:val="•"/>
      <w:rPr>
        <w:color w:val="3370ff"/>
      </w:rPr>
    </w:lvl>
  </w:abstractNum>
  <w:abstractNum w:abstractNumId="330592">
    <w:lvl>
      <w:numFmt w:val="bullet"/>
      <w:suff w:val="tab"/>
      <w:lvlText w:val="•"/>
      <w:rPr>
        <w:color w:val="3370ff"/>
      </w:rPr>
    </w:lvl>
  </w:abstractNum>
  <w:abstractNum w:abstractNumId="330593">
    <w:lvl>
      <w:numFmt w:val="bullet"/>
      <w:suff w:val="tab"/>
      <w:lvlText w:val="•"/>
      <w:rPr>
        <w:color w:val="3370ff"/>
      </w:rPr>
    </w:lvl>
  </w:abstractNum>
  <w:abstractNum w:abstractNumId="330594">
    <w:lvl>
      <w:numFmt w:val="bullet"/>
      <w:suff w:val="tab"/>
      <w:lvlText w:val="•"/>
      <w:rPr>
        <w:color w:val="3370ff"/>
      </w:rPr>
    </w:lvl>
  </w:abstractNum>
  <w:abstractNum w:abstractNumId="330595">
    <w:lvl>
      <w:numFmt w:val="bullet"/>
      <w:suff w:val="tab"/>
      <w:lvlText w:val="•"/>
      <w:rPr>
        <w:color w:val="3370ff"/>
      </w:rPr>
    </w:lvl>
  </w:abstractNum>
  <w:abstractNum w:abstractNumId="330596">
    <w:lvl>
      <w:numFmt w:val="bullet"/>
      <w:suff w:val="tab"/>
      <w:lvlText w:val="•"/>
      <w:rPr>
        <w:color w:val="3370ff"/>
      </w:rPr>
    </w:lvl>
  </w:abstractNum>
  <w:abstractNum w:abstractNumId="330597">
    <w:lvl>
      <w:numFmt w:val="bullet"/>
      <w:suff w:val="tab"/>
      <w:lvlText w:val="•"/>
      <w:rPr>
        <w:color w:val="3370ff"/>
      </w:rPr>
    </w:lvl>
  </w:abstractNum>
  <w:abstractNum w:abstractNumId="330598">
    <w:lvl>
      <w:numFmt w:val="bullet"/>
      <w:suff w:val="tab"/>
      <w:lvlText w:val="•"/>
      <w:rPr>
        <w:color w:val="3370ff"/>
      </w:rPr>
    </w:lvl>
  </w:abstractNum>
  <w:abstractNum w:abstractNumId="330599">
    <w:lvl>
      <w:numFmt w:val="bullet"/>
      <w:suff w:val="tab"/>
      <w:lvlText w:val="•"/>
      <w:rPr>
        <w:color w:val="3370ff"/>
      </w:rPr>
    </w:lvl>
  </w:abstractNum>
  <w:abstractNum w:abstractNumId="330600">
    <w:lvl>
      <w:numFmt w:val="bullet"/>
      <w:suff w:val="tab"/>
      <w:lvlText w:val="•"/>
      <w:rPr>
        <w:color w:val="3370ff"/>
      </w:rPr>
    </w:lvl>
  </w:abstractNum>
  <w:abstractNum w:abstractNumId="330601">
    <w:lvl>
      <w:numFmt w:val="bullet"/>
      <w:suff w:val="tab"/>
      <w:lvlText w:val="•"/>
      <w:rPr>
        <w:color w:val="3370ff"/>
      </w:rPr>
    </w:lvl>
  </w:abstractNum>
  <w:abstractNum w:abstractNumId="330602">
    <w:lvl>
      <w:numFmt w:val="bullet"/>
      <w:suff w:val="tab"/>
      <w:lvlText w:val="•"/>
      <w:rPr>
        <w:color w:val="3370ff"/>
      </w:rPr>
    </w:lvl>
  </w:abstractNum>
  <w:abstractNum w:abstractNumId="330603">
    <w:lvl>
      <w:numFmt w:val="bullet"/>
      <w:suff w:val="tab"/>
      <w:lvlText w:val="•"/>
      <w:rPr>
        <w:color w:val="3370ff"/>
      </w:rPr>
    </w:lvl>
  </w:abstractNum>
  <w:abstractNum w:abstractNumId="330604">
    <w:lvl>
      <w:numFmt w:val="bullet"/>
      <w:suff w:val="tab"/>
      <w:lvlText w:val="•"/>
      <w:rPr>
        <w:color w:val="3370ff"/>
      </w:rPr>
    </w:lvl>
  </w:abstractNum>
  <w:abstractNum w:abstractNumId="330605">
    <w:lvl>
      <w:numFmt w:val="bullet"/>
      <w:suff w:val="tab"/>
      <w:lvlText w:val="•"/>
      <w:rPr>
        <w:color w:val="3370ff"/>
      </w:rPr>
    </w:lvl>
  </w:abstractNum>
  <w:abstractNum w:abstractNumId="330606">
    <w:lvl>
      <w:numFmt w:val="bullet"/>
      <w:suff w:val="tab"/>
      <w:lvlText w:val="•"/>
      <w:rPr>
        <w:color w:val="3370ff"/>
      </w:rPr>
    </w:lvl>
  </w:abstractNum>
  <w:abstractNum w:abstractNumId="330607">
    <w:lvl>
      <w:numFmt w:val="bullet"/>
      <w:suff w:val="tab"/>
      <w:lvlText w:val="•"/>
      <w:rPr>
        <w:color w:val="3370ff"/>
      </w:rPr>
    </w:lvl>
  </w:abstractNum>
  <w:abstractNum w:abstractNumId="330608">
    <w:lvl>
      <w:numFmt w:val="bullet"/>
      <w:suff w:val="tab"/>
      <w:lvlText w:val="•"/>
      <w:rPr>
        <w:color w:val="3370ff"/>
      </w:rPr>
    </w:lvl>
  </w:abstractNum>
  <w:abstractNum w:abstractNumId="330609">
    <w:lvl>
      <w:numFmt w:val="bullet"/>
      <w:suff w:val="tab"/>
      <w:lvlText w:val="•"/>
      <w:rPr>
        <w:color w:val="3370ff"/>
      </w:rPr>
    </w:lvl>
  </w:abstractNum>
  <w:abstractNum w:abstractNumId="330610">
    <w:lvl>
      <w:numFmt w:val="bullet"/>
      <w:suff w:val="tab"/>
      <w:lvlText w:val="•"/>
      <w:rPr>
        <w:color w:val="3370ff"/>
      </w:rPr>
    </w:lvl>
  </w:abstractNum>
  <w:abstractNum w:abstractNumId="330611">
    <w:lvl>
      <w:numFmt w:val="bullet"/>
      <w:suff w:val="tab"/>
      <w:lvlText w:val="•"/>
      <w:rPr>
        <w:color w:val="3370ff"/>
      </w:rPr>
    </w:lvl>
  </w:abstractNum>
  <w:abstractNum w:abstractNumId="330612">
    <w:lvl>
      <w:start w:val="1"/>
      <w:numFmt w:val="decimal"/>
      <w:suff w:val="tab"/>
      <w:lvlText w:val="%1."/>
      <w:rPr>
        <w:color w:val="3370ff"/>
      </w:rPr>
    </w:lvl>
  </w:abstractNum>
  <w:abstractNum w:abstractNumId="330613">
    <w:lvl>
      <w:start w:val="2"/>
      <w:numFmt w:val="decimal"/>
      <w:suff w:val="tab"/>
      <w:lvlText w:val="%1."/>
      <w:rPr>
        <w:color w:val="3370ff"/>
      </w:rPr>
    </w:lvl>
  </w:abstractNum>
  <w:abstractNum w:abstractNumId="330614">
    <w:lvl>
      <w:start w:val="3"/>
      <w:numFmt w:val="decimal"/>
      <w:suff w:val="tab"/>
      <w:lvlText w:val="%1."/>
      <w:rPr>
        <w:color w:val="3370ff"/>
      </w:rPr>
    </w:lvl>
  </w:abstractNum>
  <w:abstractNum w:abstractNumId="330615">
    <w:lvl>
      <w:start w:val="4"/>
      <w:numFmt w:val="decimal"/>
      <w:suff w:val="tab"/>
      <w:lvlText w:val="%1."/>
      <w:rPr>
        <w:color w:val="3370ff"/>
      </w:rPr>
    </w:lvl>
  </w:abstractNum>
  <w:abstractNum w:abstractNumId="330616">
    <w:lvl>
      <w:start w:val="5"/>
      <w:numFmt w:val="decimal"/>
      <w:suff w:val="tab"/>
      <w:lvlText w:val="%1."/>
      <w:rPr>
        <w:color w:val="3370ff"/>
      </w:rPr>
    </w:lvl>
  </w:abstractNum>
  <w:abstractNum w:abstractNumId="330617">
    <w:lvl>
      <w:start w:val="6"/>
      <w:numFmt w:val="decimal"/>
      <w:suff w:val="tab"/>
      <w:lvlText w:val="%1."/>
      <w:rPr>
        <w:color w:val="3370ff"/>
      </w:rPr>
    </w:lvl>
  </w:abstractNum>
  <w:abstractNum w:abstractNumId="330618">
    <w:lvl>
      <w:start w:val="7"/>
      <w:numFmt w:val="decimal"/>
      <w:suff w:val="tab"/>
      <w:lvlText w:val="%1."/>
      <w:rPr>
        <w:color w:val="3370ff"/>
      </w:rPr>
    </w:lvl>
  </w:abstractNum>
  <w:abstractNum w:abstractNumId="330619">
    <w:lvl>
      <w:start w:val="8"/>
      <w:numFmt w:val="decimal"/>
      <w:suff w:val="tab"/>
      <w:lvlText w:val="%1."/>
      <w:rPr>
        <w:color w:val="3370ff"/>
      </w:rPr>
    </w:lvl>
  </w:abstractNum>
  <w:abstractNum w:abstractNumId="330620">
    <w:lvl>
      <w:start w:val="9"/>
      <w:numFmt w:val="decimal"/>
      <w:suff w:val="tab"/>
      <w:lvlText w:val="%1."/>
      <w:rPr>
        <w:color w:val="3370ff"/>
      </w:rPr>
    </w:lvl>
  </w:abstractNum>
  <w:abstractNum w:abstractNumId="330621">
    <w:lvl>
      <w:start w:val="10"/>
      <w:numFmt w:val="decimal"/>
      <w:suff w:val="tab"/>
      <w:lvlText w:val="%1."/>
      <w:rPr>
        <w:color w:val="3370ff"/>
      </w:rPr>
    </w:lvl>
  </w:abstractNum>
  <w:abstractNum w:abstractNumId="330622">
    <w:lvl>
      <w:start w:val="11"/>
      <w:numFmt w:val="decimal"/>
      <w:suff w:val="tab"/>
      <w:lvlText w:val="%1."/>
      <w:rPr>
        <w:color w:val="3370ff"/>
      </w:rPr>
    </w:lvl>
  </w:abstractNum>
  <w:abstractNum w:abstractNumId="330623">
    <w:lvl>
      <w:start w:val="12"/>
      <w:numFmt w:val="decimal"/>
      <w:suff w:val="tab"/>
      <w:lvlText w:val="%1."/>
      <w:rPr>
        <w:color w:val="3370ff"/>
      </w:rPr>
    </w:lvl>
  </w:abstractNum>
  <w:abstractNum w:abstractNumId="330624">
    <w:lvl>
      <w:numFmt w:val="bullet"/>
      <w:suff w:val="tab"/>
      <w:lvlText w:val="•"/>
      <w:rPr>
        <w:color w:val="3370ff"/>
      </w:rPr>
    </w:lvl>
  </w:abstractNum>
  <w:abstractNum w:abstractNumId="330625">
    <w:lvl>
      <w:numFmt w:val="bullet"/>
      <w:suff w:val="tab"/>
      <w:lvlText w:val="•"/>
      <w:rPr>
        <w:color w:val="3370ff"/>
      </w:rPr>
    </w:lvl>
  </w:abstractNum>
  <w:abstractNum w:abstractNumId="330626">
    <w:lvl>
      <w:numFmt w:val="bullet"/>
      <w:suff w:val="tab"/>
      <w:lvlText w:val="•"/>
      <w:rPr>
        <w:color w:val="3370ff"/>
      </w:rPr>
    </w:lvl>
  </w:abstractNum>
  <w:abstractNum w:abstractNumId="330627">
    <w:lvl>
      <w:numFmt w:val="bullet"/>
      <w:suff w:val="tab"/>
      <w:lvlText w:val="•"/>
      <w:rPr>
        <w:color w:val="3370ff"/>
      </w:rPr>
    </w:lvl>
  </w:abstractNum>
  <w:abstractNum w:abstractNumId="330628">
    <w:lvl>
      <w:numFmt w:val="bullet"/>
      <w:suff w:val="tab"/>
      <w:lvlText w:val="•"/>
      <w:rPr>
        <w:color w:val="3370ff"/>
      </w:rPr>
    </w:lvl>
  </w:abstractNum>
  <w:abstractNum w:abstractNumId="330629">
    <w:lvl>
      <w:numFmt w:val="bullet"/>
      <w:suff w:val="tab"/>
      <w:lvlText w:val="•"/>
      <w:rPr>
        <w:color w:val="3370ff"/>
      </w:rPr>
    </w:lvl>
  </w:abstractNum>
  <w:abstractNum w:abstractNumId="330630">
    <w:lvl>
      <w:numFmt w:val="bullet"/>
      <w:suff w:val="tab"/>
      <w:lvlText w:val="•"/>
      <w:rPr>
        <w:color w:val="3370ff"/>
      </w:rPr>
    </w:lvl>
  </w:abstractNum>
  <w:abstractNum w:abstractNumId="330631">
    <w:lvl>
      <w:numFmt w:val="bullet"/>
      <w:suff w:val="tab"/>
      <w:lvlText w:val="•"/>
      <w:rPr>
        <w:color w:val="3370ff"/>
      </w:rPr>
    </w:lvl>
  </w:abstractNum>
  <w:abstractNum w:abstractNumId="330632">
    <w:lvl>
      <w:numFmt w:val="bullet"/>
      <w:suff w:val="tab"/>
      <w:lvlText w:val="•"/>
      <w:rPr>
        <w:color w:val="3370ff"/>
      </w:rPr>
    </w:lvl>
  </w:abstractNum>
  <w:abstractNum w:abstractNumId="330633">
    <w:lvl>
      <w:numFmt w:val="bullet"/>
      <w:suff w:val="tab"/>
      <w:lvlText w:val="•"/>
      <w:rPr>
        <w:color w:val="3370ff"/>
      </w:rPr>
    </w:lvl>
  </w:abstractNum>
  <w:abstractNum w:abstractNumId="330634">
    <w:lvl>
      <w:numFmt w:val="bullet"/>
      <w:suff w:val="tab"/>
      <w:lvlText w:val="•"/>
      <w:rPr>
        <w:color w:val="3370ff"/>
      </w:rPr>
    </w:lvl>
  </w:abstractNum>
  <w:abstractNum w:abstractNumId="330635">
    <w:lvl>
      <w:numFmt w:val="bullet"/>
      <w:suff w:val="tab"/>
      <w:lvlText w:val="•"/>
      <w:rPr>
        <w:color w:val="3370ff"/>
      </w:rPr>
    </w:lvl>
  </w:abstractNum>
  <w:abstractNum w:abstractNumId="330636">
    <w:lvl>
      <w:numFmt w:val="bullet"/>
      <w:suff w:val="tab"/>
      <w:lvlText w:val="•"/>
      <w:rPr>
        <w:color w:val="3370ff"/>
      </w:rPr>
    </w:lvl>
  </w:abstractNum>
  <w:abstractNum w:abstractNumId="330637">
    <w:lvl>
      <w:numFmt w:val="bullet"/>
      <w:suff w:val="tab"/>
      <w:lvlText w:val="•"/>
      <w:rPr>
        <w:color w:val="3370ff"/>
      </w:rPr>
    </w:lvl>
  </w:abstractNum>
  <w:abstractNum w:abstractNumId="330638">
    <w:lvl>
      <w:numFmt w:val="bullet"/>
      <w:suff w:val="tab"/>
      <w:lvlText w:val="•"/>
      <w:rPr>
        <w:color w:val="3370ff"/>
      </w:rPr>
    </w:lvl>
  </w:abstractNum>
  <w:abstractNum w:abstractNumId="330639">
    <w:lvl>
      <w:numFmt w:val="bullet"/>
      <w:suff w:val="tab"/>
      <w:lvlText w:val="•"/>
      <w:rPr>
        <w:color w:val="3370ff"/>
      </w:rPr>
    </w:lvl>
  </w:abstractNum>
  <w:abstractNum w:abstractNumId="330640">
    <w:lvl>
      <w:numFmt w:val="bullet"/>
      <w:suff w:val="tab"/>
      <w:lvlText w:val="•"/>
      <w:rPr>
        <w:color w:val="3370ff"/>
      </w:rPr>
    </w:lvl>
  </w:abstractNum>
  <w:abstractNum w:abstractNumId="330641">
    <w:lvl>
      <w:numFmt w:val="bullet"/>
      <w:suff w:val="tab"/>
      <w:lvlText w:val="•"/>
      <w:rPr>
        <w:color w:val="3370ff"/>
      </w:rPr>
    </w:lvl>
  </w:abstractNum>
  <w:abstractNum w:abstractNumId="330642">
    <w:lvl>
      <w:numFmt w:val="bullet"/>
      <w:suff w:val="tab"/>
      <w:lvlText w:val="•"/>
      <w:rPr>
        <w:color w:val="3370ff"/>
      </w:rPr>
    </w:lvl>
  </w:abstractNum>
  <w:num w:numId="1">
    <w:abstractNumId w:val="330581"/>
  </w:num>
  <w:num w:numId="2">
    <w:abstractNumId w:val="330582"/>
  </w:num>
  <w:num w:numId="3">
    <w:abstractNumId w:val="330583"/>
  </w:num>
  <w:num w:numId="4">
    <w:abstractNumId w:val="330584"/>
  </w:num>
  <w:num w:numId="5">
    <w:abstractNumId w:val="330585"/>
  </w:num>
  <w:num w:numId="6">
    <w:abstractNumId w:val="330586"/>
  </w:num>
  <w:num w:numId="7">
    <w:abstractNumId w:val="330587"/>
  </w:num>
  <w:num w:numId="8">
    <w:abstractNumId w:val="330588"/>
  </w:num>
  <w:num w:numId="9">
    <w:abstractNumId w:val="330589"/>
  </w:num>
  <w:num w:numId="10">
    <w:abstractNumId w:val="330590"/>
  </w:num>
  <w:num w:numId="11">
    <w:abstractNumId w:val="330591"/>
  </w:num>
  <w:num w:numId="12">
    <w:abstractNumId w:val="330592"/>
  </w:num>
  <w:num w:numId="13">
    <w:abstractNumId w:val="330593"/>
  </w:num>
  <w:num w:numId="14">
    <w:abstractNumId w:val="330594"/>
  </w:num>
  <w:num w:numId="15">
    <w:abstractNumId w:val="330595"/>
  </w:num>
  <w:num w:numId="16">
    <w:abstractNumId w:val="330596"/>
  </w:num>
  <w:num w:numId="17">
    <w:abstractNumId w:val="330597"/>
  </w:num>
  <w:num w:numId="18">
    <w:abstractNumId w:val="330598"/>
  </w:num>
  <w:num w:numId="19">
    <w:abstractNumId w:val="330599"/>
  </w:num>
  <w:num w:numId="20">
    <w:abstractNumId w:val="330600"/>
  </w:num>
  <w:num w:numId="21">
    <w:abstractNumId w:val="330601"/>
  </w:num>
  <w:num w:numId="22">
    <w:abstractNumId w:val="330602"/>
  </w:num>
  <w:num w:numId="23">
    <w:abstractNumId w:val="330603"/>
  </w:num>
  <w:num w:numId="24">
    <w:abstractNumId w:val="330604"/>
  </w:num>
  <w:num w:numId="25">
    <w:abstractNumId w:val="330605"/>
  </w:num>
  <w:num w:numId="26">
    <w:abstractNumId w:val="330606"/>
  </w:num>
  <w:num w:numId="27">
    <w:abstractNumId w:val="330607"/>
  </w:num>
  <w:num w:numId="28">
    <w:abstractNumId w:val="330608"/>
  </w:num>
  <w:num w:numId="29">
    <w:abstractNumId w:val="330609"/>
  </w:num>
  <w:num w:numId="30">
    <w:abstractNumId w:val="330610"/>
  </w:num>
  <w:num w:numId="31">
    <w:abstractNumId w:val="330611"/>
  </w:num>
  <w:num w:numId="32">
    <w:abstractNumId w:val="330612"/>
  </w:num>
  <w:num w:numId="33">
    <w:abstractNumId w:val="330613"/>
  </w:num>
  <w:num w:numId="34">
    <w:abstractNumId w:val="330614"/>
  </w:num>
  <w:num w:numId="35">
    <w:abstractNumId w:val="330615"/>
  </w:num>
  <w:num w:numId="36">
    <w:abstractNumId w:val="330616"/>
  </w:num>
  <w:num w:numId="37">
    <w:abstractNumId w:val="330617"/>
  </w:num>
  <w:num w:numId="38">
    <w:abstractNumId w:val="330618"/>
  </w:num>
  <w:num w:numId="39">
    <w:abstractNumId w:val="330619"/>
  </w:num>
  <w:num w:numId="40">
    <w:abstractNumId w:val="330620"/>
  </w:num>
  <w:num w:numId="41">
    <w:abstractNumId w:val="330621"/>
  </w:num>
  <w:num w:numId="42">
    <w:abstractNumId w:val="330622"/>
  </w:num>
  <w:num w:numId="43">
    <w:abstractNumId w:val="330623"/>
  </w:num>
  <w:num w:numId="44">
    <w:abstractNumId w:val="330624"/>
  </w:num>
  <w:num w:numId="45">
    <w:abstractNumId w:val="330625"/>
  </w:num>
  <w:num w:numId="46">
    <w:abstractNumId w:val="330626"/>
  </w:num>
  <w:num w:numId="47">
    <w:abstractNumId w:val="330627"/>
  </w:num>
  <w:num w:numId="48">
    <w:abstractNumId w:val="330628"/>
  </w:num>
  <w:num w:numId="49">
    <w:abstractNumId w:val="330629"/>
  </w:num>
  <w:num w:numId="50">
    <w:abstractNumId w:val="330630"/>
  </w:num>
  <w:num w:numId="51">
    <w:abstractNumId w:val="330631"/>
  </w:num>
  <w:num w:numId="52">
    <w:abstractNumId w:val="330632"/>
  </w:num>
  <w:num w:numId="53">
    <w:abstractNumId w:val="330633"/>
  </w:num>
  <w:num w:numId="54">
    <w:abstractNumId w:val="330634"/>
  </w:num>
  <w:num w:numId="55">
    <w:abstractNumId w:val="330635"/>
  </w:num>
  <w:num w:numId="56">
    <w:abstractNumId w:val="330636"/>
  </w:num>
  <w:num w:numId="57">
    <w:abstractNumId w:val="330637"/>
  </w:num>
  <w:num w:numId="58">
    <w:abstractNumId w:val="330638"/>
  </w:num>
  <w:num w:numId="59">
    <w:abstractNumId w:val="330639"/>
  </w:num>
  <w:num w:numId="60">
    <w:abstractNumId w:val="330640"/>
  </w:num>
  <w:num w:numId="61">
    <w:abstractNumId w:val="330641"/>
  </w:num>
  <w:num w:numId="62">
    <w:abstractNumId w:val="3306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qcn4bs3on83q.feishu.cn/wiki/Ox1swEphliZfWnk9R14ccWdgnDe?from=from_copylink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qcn4bs3on83q.feishu.cn/wiki/Sev8wTcjYi4VEDkR1Ubcrxdbnrd?from=from_copylink" TargetMode="External" Type="http://schemas.openxmlformats.org/officeDocument/2006/relationships/hyperlink"/><Relationship Id="rId6" Target="https://qcn4bs3on83q.feishu.cn/wiki/Ox1swEphliZfWnk9R14ccWdgnDe?from=from_copylink" TargetMode="External" Type="http://schemas.openxmlformats.org/officeDocument/2006/relationships/hyperlink"/><Relationship Id="rId7" Target="https://qcn4bs3on83q.feishu.cn/wiki/EAOuw7vXSiPpcAkIKymcCZQonxP?from=from_copylink" TargetMode="External" Type="http://schemas.openxmlformats.org/officeDocument/2006/relationships/hyperlink"/><Relationship Id="rId8" Target="https://qcn4bs3on83q.feishu.cn/wiki/IizewzRf4iSKc4kEZPscmzHrnDf?from=from_copylink" TargetMode="External" Type="http://schemas.openxmlformats.org/officeDocument/2006/relationships/hyperlink"/><Relationship Id="rId9" Target="https://qcn4bs3on83q.feishu.cn/wiki/F8SGwORxki6AsdkvPVAcjHw7nae?from=from_copylink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2026-10-13T16:07:29Z</dcterms:created>
  <dc:creator>Apache POI</dc:creator>
</cp:coreProperties>
</file>