
<file path=[Content_Types].xml><?xml version="1.0" encoding="utf-8"?>
<Types xmlns="http://schemas.openxmlformats.org/package/2006/content-types">
  <Default ContentType="image/gif" Extension="gif"/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活动介绍｜EvoTavern 攻壳机动队主题 Agent 黑客松·深圳 2026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BUILD THE SHELL. ACTIVATE THE GHOST. ENTER THE NET.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让智能获得身体、形成自主性，并进入协作网络。</w:t>
      </w:r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深圳 · 2026.09.21—09.24｜四天三晚｜五大赛道｜400–500 位 Builders｜10–20 家共创伙伴｜｜Techno Rave VJ Party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 Agent 获得身体、进入设备、调用工具，并与人和其他智能共同完成任务，它就不再只是一个会回答问题的模型，而开始成为能够感知、选择、行动的主体。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EvoTavern 深圳收官场，选择</w:t>
      </w:r>
      <w:r>
        <w:rPr>
          <w:rFonts w:eastAsia="等线" w:ascii="Arial" w:cs="Arial" w:hAnsi="Arial"/>
          <w:b w:val="true"/>
          <w:sz w:val="22"/>
        </w:rPr>
        <w:t>《攻壳机动队》</w:t>
      </w:r>
      <w:r>
        <w:rPr>
          <w:rFonts w:eastAsia="等线" w:ascii="Arial" w:cs="Arial" w:hAnsi="Arial"/>
          <w:sz w:val="22"/>
        </w:rPr>
        <w:t>作为黑客松赛事沉浸式 IP 主题，借用经典作品中的 SHELL 和 GHOST 经典意向，问出属于当下 Agent 时代的问题：</w:t>
      </w:r>
      <w:r>
        <w:rPr>
          <w:rFonts w:eastAsia="等线" w:ascii="Arial" w:cs="Arial" w:hAnsi="Arial"/>
          <w:b w:val="true"/>
          <w:sz w:val="22"/>
        </w:rPr>
        <w:t>当智能走出对话框，进入身体、设备、空间与协作网络，会诞生什么？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Shell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是 Agent 进入现实的身体与接口；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Ghost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是持续的意图、记忆、推理与自主行动；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Net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是 Agent、人和设备建立连接、分工与协商的网络。三者汇合，最终指向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New Life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四天之后，我们期待看到的不是又一个聊天机器人，而是一种此前不存在的产品、体验或新生命形态。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color w:val="2ea121"/>
          <w:sz w:val="36"/>
        </w:rPr>
        <w:t>赛事一览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5"/>
        <w:gridCol w:w="1635"/>
        <w:gridCol w:w="1800"/>
        <w:gridCol w:w="2130"/>
        <w:gridCol w:w="1890"/>
      </w:tblGrid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745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2026 年 9 月 21-24 日</w:t>
            </w:r>
          </w:p>
        </w:tc>
        <w:tc>
          <w:tcPr>
            <w:tcW w:w="18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地点</w:t>
            </w:r>
          </w:p>
        </w:tc>
        <w:tc>
          <w:tcPr>
            <w:tcW w:w="343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深圳南山区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形式</w:t>
            </w:r>
          </w:p>
        </w:tc>
        <w:tc>
          <w:tcPr>
            <w:tcW w:w="745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线下四天赛事+开闭幕线上直播</w:t>
            </w:r>
          </w:p>
        </w:tc>
        <w:tc>
          <w:tcPr>
            <w:tcW w:w="18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环节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DAY1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签到打卡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破冰组队 Speed Dating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合作方展会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开幕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DAY2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选手全天深度开发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上下午特邀嘉宾分享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赛道导师 Workshop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夜间限时隐藏任务开启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DAY3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选手全天深度开发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开放观众及 KOL 探展 Open Hour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上下午特邀嘉宾分享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赛道导师赛前辅导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夜间 Techno Rave VJ Party 开启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DAY4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选手最后冲刺开发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作品封板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观众入场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初赛游园评审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分赛道复赛决出 Top 2*5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决赛 10 支队伍角逐大奖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颁奖典礼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赛道</w:t>
            </w:r>
          </w:p>
        </w:tc>
        <w:tc>
          <w:tcPr>
            <w:tcW w:w="745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具身智能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穿戴与消费硬件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AI游戏与交互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原生 Agent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蜂群协作</w:t>
            </w:r>
          </w:p>
        </w:tc>
        <w:tc>
          <w:tcPr>
            <w:tcW w:w="18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color w:val="2ea121"/>
          <w:sz w:val="36"/>
        </w:rPr>
        <w:t>五大赛道｜让智能真正进入世界</w:t>
      </w:r>
      <w:bookmarkEnd w:id="1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2" w:id="2"/>
            <w:r>
              <w:rPr>
                <w:rFonts w:eastAsia="等线" w:ascii="Arial" w:cs="Arial" w:hAnsi="Arial"/>
                <w:b w:val="true"/>
                <w:sz w:val="32"/>
              </w:rPr>
              <w:t>SHELL FORGE｜具身智能硬件</w:t>
            </w:r>
            <w:bookmarkEnd w:id="2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面向机器人、机械臂、移动平台、空间装置与边缘设备。作品必须完成真实环境中的“感知—决策—行动”闭环，而不是只播放一段概念视频。</w:t>
            </w:r>
          </w:p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3" w:id="3"/>
            <w:r>
              <w:rPr>
                <w:rFonts w:eastAsia="等线" w:ascii="Arial" w:cs="Arial" w:hAnsi="Arial"/>
                <w:b w:val="true"/>
                <w:sz w:val="32"/>
              </w:rPr>
              <w:t>CYBERBODY｜穿戴与消费硬件</w:t>
            </w:r>
            <w:bookmarkEnd w:id="3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面向 AI 眼镜、可穿戴、智能玩具、健康与睡眠设备、空间计算、智能家居及全新消费电子。判断标准只有一个：用户能否在现场真正戴上、拿起或用起来。</w:t>
            </w:r>
          </w:p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4" w:id="4"/>
            <w:r>
              <w:rPr>
                <w:rFonts w:eastAsia="等线" w:ascii="Arial" w:cs="Arial" w:hAnsi="Arial"/>
                <w:b w:val="true"/>
                <w:sz w:val="32"/>
              </w:rPr>
              <w:t>NEW LIFE｜AI 游戏与交互世界</w:t>
            </w:r>
            <w:bookmarkEnd w:id="4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面向 AI NPC、生成式玩法、数字生命、实时叙事与跨设备交互。四天内做出可以被玩家操作、被观众围观、能够产生意外行为的可玩 Demo。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5" w:id="5"/>
            <w:r>
              <w:rPr>
                <w:rFonts w:eastAsia="等线" w:ascii="Arial" w:cs="Arial" w:hAnsi="Arial"/>
                <w:b w:val="true"/>
                <w:sz w:val="32"/>
              </w:rPr>
              <w:t>GHOST NETWORK｜原生 Agent</w:t>
            </w:r>
            <w:bookmarkEnd w:id="5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 Agent 在 Day 1 就能搜索、继承并调用网络中已经验证的经验。欢迎个人助理、企业工作流、研究、教育、内容与城市服务等真实场景，重点验证工具调用、可靠执行与可持续交付。</w:t>
            </w:r>
          </w:p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6" w:id="6"/>
            <w:r>
              <w:rPr>
                <w:rFonts w:eastAsia="等线" w:ascii="Arial" w:cs="Arial" w:hAnsi="Arial"/>
                <w:b w:val="true"/>
                <w:sz w:val="32"/>
              </w:rPr>
              <w:t>SECTION 9｜多 Agent 蜂群协作</w:t>
            </w:r>
            <w:bookmarkEnd w:id="6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蜂群、主从、专家委员会、辩论还是动态编排？用同一真实任务验证角色分工、通信协议、冲突解决、故障恢复，以及质量、速度与成本之间的取舍。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赛制容量：</w:t>
            </w:r>
            <w:r>
              <w:rPr>
                <w:rFonts w:eastAsia="等线" w:ascii="Arial" w:cs="Arial" w:hAnsi="Arial"/>
                <w:sz w:val="22"/>
              </w:rPr>
              <w:t>预计招募约 200-250 支队伍，每条赛道原则上不超过 50 组；每支队伍选择一个主赛道，合作伙伴可通过技术平台、设备、奖金及现金支持联合定义赛题与专项奖。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color w:val="2ea121"/>
          <w:sz w:val="36"/>
        </w:rPr>
        <w:t>日程安排｜四天三晚从 Shell Assembly 到 New Life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10"/>
        <w:gridCol w:w="2100"/>
        <w:gridCol w:w="2010"/>
        <w:gridCol w:w="2160"/>
      </w:tblGrid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 1 · SHELL ASSEMBLY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 2 · GHOST ACTIVATION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 3 · NETWORK DIVE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 4 · NEW LIFE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接入现实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12:00–14:00 场地就绪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14:00–15:30 选手签到 + Expo 自由参观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15:30–15:50 破冰 Speed Dating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15:50–17:30 自由组队完善 + Expo 参观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17:00–19:00 开幕式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19:00–19:50 晚餐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19:50 Hacking Start!</w:t>
            </w:r>
            <w:r>
              <w:rPr>
                <w:rFonts w:eastAsia="等线" w:ascii="Arial" w:cs="Arial" w:hAnsi="Arial"/>
                <w:sz w:val="22"/>
              </w:rPr>
              <w:t xml:space="preserve"> 开发正式启动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20:00 场馆出入口封锁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21:00–24:00 晚间开发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20:00（同步开放）过夜区开放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让系统活起来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09:00 早餐 + 开发区开放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全天深度开发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10:00 / 11:00 特邀嘉宾分享（主舞台 / 副舞台）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12:00–13:30 午餐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14:00 / 15:00 特邀嘉宾分享（主舞台 / 副舞台）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16:00–17:00 赛道 Workshop ×2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17:00–18:00 赛道 Workshop ×1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18:00–19:00 晚餐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18:30–19:30 主会场最后一场 Workshop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19:50 封场倒计时；20:00 场馆封锁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19:30 后夜间限时隐藏任务；19:30 过夜区开放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进入深网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09:00 早餐 + 开发区开放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09:00–12:00 Open Hour 运营段①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09:30 / 10:00 飞行嘉宾分享（主舞台 / 副舞台）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10:00–12:00 赛道导师巡回答疑①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12:00–13:30 午餐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13:30 观众及 KOL 开放入场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14:00 / 15:00 特邀嘉宾分享（主舞台 / 副舞台）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14:00–17:00 Open Hour 运营段②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15:00–17:00 赛道导师巡回答疑②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17:00–18:00 提前晚餐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18:00–19:30 Techno Rave VJ Party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19:30 后清场；过夜区开放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诞生新事物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09:00 早餐 + 最后冲刺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11:00 作品封板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11:00–13:00 布展及评委集合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12:00–13:00 午餐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13:00–16:00 初赛游园评审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13:30 起观众开放入场及人气奖投票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16:00–17:00 选手用餐、后台核分及成绩公示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16:40–17:00 复赛准备 + 设备测试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17:00–18:00 复赛路演（8 队×7 分钟）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18:00–18:45 复赛成绩复核 + 跨赛道终审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18:45–19:30 颁奖典礼 + 合影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19:30 起有序散场；20:00 场馆封锁</w:t>
            </w:r>
          </w:p>
        </w:tc>
      </w:tr>
    </w:tbl>
    <w:p/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不让任何作品“无人评审”。</w:t>
            </w:r>
            <w:r>
              <w:rPr>
                <w:rFonts w:eastAsia="等线" w:ascii="Arial" w:cs="Arial" w:hAnsi="Arial"/>
                <w:sz w:val="22"/>
              </w:rPr>
              <w:t>预计配置约 30 位评委，每条赛道设置交叉评审组；所有项目通过线上系统获得固定评审时段，并至少由 3 位评委独立打分。初赛后进入五条赛道决赛，总榜大奖再由跨赛道终审产生。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color w:val="2ea121"/>
          <w:sz w:val="36"/>
        </w:rPr>
        <w:t>邀请参与｜三大角色、把经验与判断带进现场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1｜特邀嘉宾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参与环节：</w:t>
      </w:r>
      <w:r>
        <w:rPr>
          <w:rFonts w:eastAsia="等线" w:ascii="Arial" w:cs="Arial" w:hAnsi="Arial"/>
          <w:sz w:val="22"/>
        </w:rPr>
        <w:t>Day 2–3 的飞行嘉宾分享环节，具体场次按最终排期确认。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主题分享：</w:t>
      </w:r>
      <w:r>
        <w:rPr>
          <w:rFonts w:eastAsia="等线" w:ascii="Arial" w:cs="Arial" w:hAnsi="Arial"/>
          <w:sz w:val="22"/>
        </w:rPr>
        <w:t>围绕个人所在领域、实践经验或正在推进的真实问题，为 Builders 带来一场可被带走的分享。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现场交流：</w:t>
      </w:r>
      <w:r>
        <w:rPr>
          <w:rFonts w:eastAsia="等线" w:ascii="Arial" w:cs="Arial" w:hAnsi="Arial"/>
          <w:sz w:val="22"/>
        </w:rPr>
        <w:t>分享后与选手和观众交流，回应现场问题，帮助大家理解技术、产品与真实场景之间的连接。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2｜赛事评审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参与环节：</w:t>
      </w:r>
      <w:r>
        <w:rPr>
          <w:rFonts w:eastAsia="等线" w:ascii="Arial" w:cs="Arial" w:hAnsi="Arial"/>
          <w:sz w:val="22"/>
        </w:rPr>
        <w:t>Day 4 初赛游园评审、五大赛道复赛路演及跨赛道终审。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初赛游园：</w:t>
      </w:r>
      <w:r>
        <w:rPr>
          <w:rFonts w:eastAsia="等线" w:ascii="Arial" w:cs="Arial" w:hAnsi="Arial"/>
          <w:sz w:val="22"/>
        </w:rPr>
        <w:t>按固定时段进入赛道分区评审项目，每个项目至少由 3 位评委独立打分；单人覆盖约 30–50 个项目，总评审时长控制在 4 小时内。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复赛与终审：</w:t>
      </w:r>
      <w:r>
        <w:rPr>
          <w:rFonts w:eastAsia="等线" w:ascii="Arial" w:cs="Arial" w:hAnsi="Arial"/>
          <w:sz w:val="22"/>
        </w:rPr>
        <w:t>对各赛道晋级的 Top 2 队伍进行路演评审，10 支队伍单队路演 7–10 分钟，使用线上系统实时打分，并参与全场大奖的跨赛道终审。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评审要求：</w:t>
      </w:r>
      <w:r>
        <w:rPr>
          <w:rFonts w:eastAsia="等线" w:ascii="Arial" w:cs="Arial" w:hAnsi="Arial"/>
          <w:sz w:val="22"/>
        </w:rPr>
        <w:t>使用统一百分制标准，按时完成评分与必要的成绩复核，确保优秀作品被准确看见。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3｜五大赛道导师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参与环节：</w:t>
      </w:r>
      <w:r>
        <w:rPr>
          <w:rFonts w:eastAsia="等线" w:ascii="Arial" w:cs="Arial" w:hAnsi="Arial"/>
          <w:sz w:val="22"/>
        </w:rPr>
        <w:t>Day 2 五大赛道 Workshop，以及 Day 3 赛前辅导。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赛道 Workshop：</w:t>
      </w:r>
      <w:r>
        <w:rPr>
          <w:rFonts w:eastAsia="等线" w:ascii="Arial" w:cs="Arial" w:hAnsi="Arial"/>
          <w:sz w:val="22"/>
        </w:rPr>
        <w:t>围绕所属赛道的技术路径、问题拆解、案例经验或产品方向，带领选手完成一次集中共创，帮助作品从想法走向可实现的方案。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赛前辅导：</w:t>
      </w:r>
      <w:r>
        <w:rPr>
          <w:rFonts w:eastAsia="等线" w:ascii="Arial" w:cs="Arial" w:hAnsi="Arial"/>
          <w:sz w:val="22"/>
        </w:rPr>
        <w:t>Day 3 以巡回答疑方式走访项目，针对技术卡点、方案取舍、用户场景和 Demo 完成度提出改进建议，帮助团队在封板前完成最后调整。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导师要求：</w:t>
      </w:r>
      <w:r>
        <w:rPr>
          <w:rFonts w:eastAsia="等线" w:ascii="Arial" w:cs="Arial" w:hAnsi="Arial"/>
          <w:sz w:val="22"/>
        </w:rPr>
        <w:t>聚焦所负责赛道，给出具体、可执行的反馈，不替选手做决定，让每支队伍把自己的方向做得更清楚。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color w:val="2ea121"/>
          <w:sz w:val="36"/>
        </w:rPr>
        <w:t>系列回顾｜不是从零开始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过往几个月里，EvoTavern 于</w:t>
      </w:r>
      <w:r>
        <w:rPr>
          <w:rFonts w:eastAsia="等线" w:ascii="Arial" w:cs="Arial" w:hAnsi="Arial"/>
          <w:b w:val="true"/>
          <w:sz w:val="22"/>
        </w:rPr>
        <w:t>上海站</w:t>
      </w:r>
      <w:r>
        <w:rPr>
          <w:rFonts w:eastAsia="等线" w:ascii="Arial" w:cs="Arial" w:hAnsi="Arial"/>
          <w:sz w:val="22"/>
        </w:rPr>
        <w:t>在 30 小时内化身</w:t>
      </w:r>
      <w:r>
        <w:rPr>
          <w:rFonts w:eastAsia="等线" w:ascii="Arial" w:cs="Arial" w:hAnsi="Arial"/>
          <w:b w:val="true"/>
          <w:sz w:val="22"/>
        </w:rPr>
        <w:t>《赛博朋克 2077》</w:t>
      </w:r>
      <w:r>
        <w:rPr>
          <w:rFonts w:eastAsia="等线" w:ascii="Arial" w:cs="Arial" w:hAnsi="Arial"/>
          <w:sz w:val="22"/>
        </w:rPr>
        <w:t>中的往生酒馆，在霓虹与义体之间把想法做成 Demo；在</w:t>
      </w:r>
      <w:r>
        <w:rPr>
          <w:rFonts w:eastAsia="等线" w:ascii="Arial" w:cs="Arial" w:hAnsi="Arial"/>
          <w:b w:val="true"/>
          <w:sz w:val="22"/>
        </w:rPr>
        <w:t>北京站</w:t>
      </w:r>
      <w:r>
        <w:rPr>
          <w:rFonts w:eastAsia="等线" w:ascii="Arial" w:cs="Arial" w:hAnsi="Arial"/>
          <w:sz w:val="22"/>
        </w:rPr>
        <w:t>用 48 小时走进</w:t>
      </w:r>
      <w:r>
        <w:rPr>
          <w:rFonts w:eastAsia="等线" w:ascii="Arial" w:cs="Arial" w:hAnsi="Arial"/>
          <w:b w:val="true"/>
          <w:sz w:val="22"/>
        </w:rPr>
        <w:t>《黑客帝国》</w:t>
      </w:r>
      <w:r>
        <w:rPr>
          <w:rFonts w:eastAsia="等线" w:ascii="Arial" w:cs="Arial" w:hAnsi="Arial"/>
          <w:sz w:val="22"/>
        </w:rPr>
        <w:t>的 Matrix，从红蓝药丸的选择到系统边界的突破，让 Demo 经受真实任务的加速验证；再到</w:t>
      </w:r>
      <w:r>
        <w:rPr>
          <w:rFonts w:eastAsia="等线" w:ascii="Arial" w:cs="Arial" w:hAnsi="Arial"/>
          <w:b w:val="true"/>
          <w:sz w:val="22"/>
        </w:rPr>
        <w:t>杭州站</w:t>
      </w:r>
      <w:r>
        <w:rPr>
          <w:rFonts w:eastAsia="等线" w:ascii="Arial" w:cs="Arial" w:hAnsi="Arial"/>
          <w:sz w:val="22"/>
        </w:rPr>
        <w:t>使用 72 小时从</w:t>
      </w:r>
      <w:r>
        <w:rPr>
          <w:rFonts w:eastAsia="等线" w:ascii="Arial" w:cs="Arial" w:hAnsi="Arial"/>
          <w:b w:val="true"/>
          <w:sz w:val="22"/>
        </w:rPr>
        <w:t>《西部世界》</w:t>
      </w:r>
      <w:r>
        <w:rPr>
          <w:rFonts w:eastAsia="等线" w:ascii="Arial" w:cs="Arial" w:hAnsi="Arial"/>
          <w:sz w:val="22"/>
        </w:rPr>
        <w:t>中阿诺德的迷宫中心出发，沿着记忆、意识与自我进化的线索，把作品推进到工业仿真与真实服务。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57"/>
        <w:gridCol w:w="2762"/>
        <w:gridCol w:w="2760"/>
      </w:tblGrid>
      <w:tr>
        <w:tc>
          <w:tcPr>
            <w:tcW w:w="275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90675" cy="105727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10668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106680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864"/>
        <w:gridCol w:w="2550"/>
        <w:gridCol w:w="2865"/>
      </w:tblGrid>
      <w:tr>
        <w:tc>
          <w:tcPr>
            <w:tcW w:w="286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57350" cy="110490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66850" cy="109537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66875" cy="1104900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59"/>
        <w:gridCol w:w="2759"/>
        <w:gridCol w:w="2761"/>
      </w:tblGrid>
      <w:tr>
        <w:tc>
          <w:tcPr>
            <w:tcW w:w="275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90675" cy="1066800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90675" cy="1066800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1066800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1656"/>
        <w:gridCol w:w="1656"/>
        <w:gridCol w:w="1656"/>
        <w:gridCol w:w="1656"/>
        <w:gridCol w:w="1656"/>
      </w:tblGrid>
      <w:tr>
        <w:tc>
          <w:tcPr>
            <w:tcW w:w="165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20+ 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共建合作方</w:t>
            </w:r>
          </w:p>
        </w:tc>
        <w:tc>
          <w:tcPr>
            <w:tcW w:w="165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98 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参赛项目</w:t>
            </w:r>
          </w:p>
        </w:tc>
        <w:tc>
          <w:tcPr>
            <w:tcW w:w="165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19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获奖项目</w:t>
            </w:r>
          </w:p>
        </w:tc>
        <w:tc>
          <w:tcPr>
            <w:tcW w:w="165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300+ 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选手</w:t>
            </w:r>
          </w:p>
        </w:tc>
        <w:tc>
          <w:tcPr>
            <w:tcW w:w="165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1000+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观众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三场活动不是重复举办的黑客松，而是一条从赛博城市、虚拟矩阵到智能迷宫的 Builder 进化路径：把想法做成 Demo，把 Demo 推向产品，让产品走进用户。</w:t>
      </w:r>
    </w:p>
    <w:tbl>
      <w:tblPr>
        <w:tblW w:w="0" w:type="auto"/>
        <w:tblInd w:w="0" w:type="dxa"/>
        <w:tblBorders>
          <w:top w:val="single" w:color="cdb2fa"/>
          <w:left w:val="single" w:color="cdb2fa"/>
          <w:bottom w:val="single" w:color="cdb2fa"/>
          <w:right w:val="single" w:color="cdb2fa"/>
          <w:insideH w:val="single" w:color="cdb2fa"/>
          <w:insideV w:val="single" w:color="cdb2fa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6f1f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深圳收官场｜赛事规模实现 10 倍升级：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预计单场招募约 200 支队伍、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sz w:val="22"/>
              </w:rPr>
              <w:t>共计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 400–500 位参赛 Builders</w:t>
            </w:r>
            <w:r>
              <w:rPr>
                <w:rFonts w:eastAsia="等线" w:ascii="Arial" w:cs="Arial" w:hAnsi="Arial"/>
                <w:sz w:val="22"/>
              </w:rPr>
              <w:t>，设置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 5 大赛道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 30+ 位评委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等线" w:ascii="Arial" w:cs="Arial" w:hAnsi="Arial"/>
                <w:b w:val="true"/>
                <w:sz w:val="22"/>
              </w:rPr>
              <w:t>20+ 位嘉宾及导师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等线" w:ascii="Arial" w:cs="Arial" w:hAnsi="Arial"/>
                <w:b w:val="true"/>
                <w:sz w:val="22"/>
              </w:rPr>
              <w:t>10–20 家合作伙伴展位</w:t>
            </w:r>
            <w:r>
              <w:rPr>
                <w:rFonts w:eastAsia="等线" w:ascii="Arial" w:cs="Arial" w:hAnsi="Arial"/>
                <w:sz w:val="22"/>
              </w:rPr>
              <w:t>，并为选手提供现场过夜支持。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引入全新 AI 硬件、AI 游戏赛道：</w:t>
      </w:r>
      <w:r>
        <w:rPr>
          <w:rFonts w:eastAsia="等线" w:ascii="Arial" w:cs="Arial" w:hAnsi="Arial"/>
          <w:sz w:val="22"/>
        </w:rPr>
        <w:t>历届作品已覆盖工业仿真、医疗、内容生产与真实服务等方向。深圳场将进一步引入</w:t>
      </w:r>
      <w:r>
        <w:rPr>
          <w:rFonts w:eastAsia="等线" w:ascii="Arial" w:cs="Arial" w:hAnsi="Arial"/>
          <w:b w:val="true"/>
          <w:sz w:val="22"/>
        </w:rPr>
        <w:t>机器人平台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消费硬件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AI 游戏</w:t>
      </w:r>
      <w:r>
        <w:rPr>
          <w:rFonts w:eastAsia="等线" w:ascii="Arial" w:cs="Arial" w:hAnsi="Arial"/>
          <w:sz w:val="22"/>
        </w:rPr>
        <w:t>等赛道冠名合作方真实任务，让优秀作品在赛后获得曝光、孵化、产业资源、场景合作、人才链接与投资孵化的继续生长路径。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往期活动照片及历届作品：</w:t>
      </w:r>
      <w:hyperlink r:id="rId14">
        <w:r>
          <w:rPr>
            <w:rFonts w:eastAsia="等线" w:ascii="Arial" w:cs="Arial" w:hAnsi="Arial"/>
            <w:b w:val="true"/>
            <w:color w:val="3370ff"/>
            <w:sz w:val="22"/>
          </w:rPr>
          <w:t>Evotavern 历届黑客松活动回顾网站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往期嘉宾：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085"/>
        <w:gridCol w:w="1657"/>
        <w:gridCol w:w="4537"/>
      </w:tblGrid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71575" cy="4581525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458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上海场嘉宾阵容</w:t>
              <w:br/>
            </w:r>
          </w:p>
        </w:tc>
        <w:tc>
          <w:tcPr>
            <w:tcW w:w="165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95350" cy="4448175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444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北京场嘉宾阵容</w:t>
              <w:br/>
            </w:r>
          </w:p>
        </w:tc>
        <w:tc>
          <w:tcPr>
            <w:tcW w:w="453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724150" cy="4848225"/>
                  <wp:docPr id="11" name="Drawing 1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84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杭州场嘉宾阵容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往期明星选手：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Marsdata AI｜你的关系维护 Agent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项目目前已经获 oxyzcapital 资本投资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官网：</w:t>
      </w:r>
      <w:r>
        <w:rPr>
          <w:rFonts w:eastAsia="等线" w:ascii="Arial" w:cs="Arial" w:hAnsi="Arial"/>
          <w:sz w:val="22"/>
        </w:rPr>
        <w:t>https://marsdata.ai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3200400" cy="29813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br/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color w:val="2ea121"/>
          <w:sz w:val="36"/>
        </w:rPr>
        <w:t>奖项与奖励｜让优秀作品被看见、被采用、继续生长</w:t>
      </w:r>
      <w:bookmarkEnd w:id="13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全场大奖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Grand Prize，奖励全场完成度、突破性与真实价值兼具的作品。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五大赛道奖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五条赛道各决出优胜项目，集中呈现不同技术路径的最佳实践。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评审团特别奖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奖励跨赛道创新、技术勇气或难以被单一指标定义的作品。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观众选择奖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由现场观众投票，奖励最具体验感与传播潜力的 Demo。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Token Maxxxing 特别奖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全场 24 小时内使用最多 Token 的单一选手将获得 King Size Token Plan 大奖。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6840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奖励资源池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拟提供内容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现金奖励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总额 10–15 万元</w:t>
            </w:r>
            <w:r>
              <w:rPr>
                <w:rFonts w:eastAsia="等线" w:ascii="Arial" w:cs="Arial" w:hAnsi="Arial"/>
                <w:sz w:val="22"/>
              </w:rPr>
              <w:t>，具体奖项分配以最终赛事章程为准。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技术资源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 Token、API、云算力及开发工具，预计资源价值 50 万元。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实体设备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MacBook Pro、Mac mini、攻壳机动队主题键盘及合作伙伴硬件奖品。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项目曝光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头部媒体内容、获奖故事、活动 Aftermovie 及拟争取的深圳创新空间展示机会。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孵化合作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拟对接加速器、产业伙伴、投资机构与真实场景，推动优秀项目继续验证与落地。</w:t>
            </w:r>
          </w:p>
        </w:tc>
      </w:tr>
    </w:tbl>
    <w:p/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我们不奖励“最会讲故事”的团队，而是奖励四天内完成真实闭环、技术路径清晰，并值得被继续投入资源的作品。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color w:val="2ea121"/>
          <w:sz w:val="36"/>
        </w:rPr>
        <w:t>线上传播视觉 ｜设计草案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KV 定稿将统一使用 </w:t>
      </w:r>
      <w:r>
        <w:rPr>
          <w:rFonts w:eastAsia="等线" w:ascii="Arial" w:cs="Arial" w:hAnsi="Arial"/>
          <w:b w:val="true"/>
          <w:sz w:val="22"/>
        </w:rPr>
        <w:t>4TH AGENT HACKATHON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等线" w:ascii="Arial" w:cs="Arial" w:hAnsi="Arial"/>
          <w:b w:val="true"/>
          <w:sz w:val="22"/>
        </w:rPr>
        <w:t>2026.09.21—09.24</w:t>
      </w:r>
      <w:r>
        <w:rPr>
          <w:rFonts w:eastAsia="等线" w:ascii="Arial" w:cs="Arial" w:hAnsi="Arial"/>
          <w:sz w:val="22"/>
        </w:rPr>
        <w:t>，并以“进化酒馆、义体装配、后颈接口、线缆连接”作为主要视觉符号。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9085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409700"/>
                  <wp:docPr id="14" name="Drawing 1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409700"/>
                  <wp:docPr id="15" name="Drawing 1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color w:val="2ea121"/>
          <w:sz w:val="36"/>
        </w:rPr>
        <w:t>线下空间体验｜把 「攻壳机动队」变成一座可以进入的城市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现场空间将现代化工业风场地进行主题改造，从入口的 </w:t>
      </w:r>
      <w:r>
        <w:rPr>
          <w:rFonts w:eastAsia="等线" w:ascii="Arial" w:cs="Arial" w:hAnsi="Arial"/>
          <w:b w:val="true"/>
          <w:sz w:val="22"/>
        </w:rPr>
        <w:t xml:space="preserve">Shell Assembly </w:t>
      </w:r>
      <w:r>
        <w:rPr>
          <w:rFonts w:eastAsia="等线" w:ascii="Arial" w:cs="Arial" w:hAnsi="Arial"/>
          <w:sz w:val="22"/>
        </w:rPr>
        <w:t xml:space="preserve">区域，穿过高信息密度的 </w:t>
      </w:r>
      <w:r>
        <w:rPr>
          <w:rFonts w:eastAsia="等线" w:ascii="Arial" w:cs="Arial" w:hAnsi="Arial"/>
          <w:b w:val="true"/>
          <w:sz w:val="22"/>
        </w:rPr>
        <w:t>New Port City</w:t>
      </w:r>
      <w:r>
        <w:rPr>
          <w:rFonts w:eastAsia="等线" w:ascii="Arial" w:cs="Arial" w:hAnsi="Arial"/>
          <w:sz w:val="22"/>
        </w:rPr>
        <w:t xml:space="preserve">，在主舞台接入 </w:t>
      </w:r>
      <w:r>
        <w:rPr>
          <w:rFonts w:eastAsia="等线" w:ascii="Arial" w:cs="Arial" w:hAnsi="Arial"/>
          <w:b w:val="true"/>
          <w:sz w:val="22"/>
        </w:rPr>
        <w:t>The Net</w:t>
      </w:r>
      <w:r>
        <w:rPr>
          <w:rFonts w:eastAsia="等线" w:ascii="Arial" w:cs="Arial" w:hAnsi="Arial"/>
          <w:sz w:val="22"/>
        </w:rPr>
        <w:t xml:space="preserve">，最终于 Demo Show 见证 </w:t>
      </w:r>
      <w:r>
        <w:rPr>
          <w:rFonts w:eastAsia="等线" w:ascii="Arial" w:cs="Arial" w:hAnsi="Arial"/>
          <w:b w:val="true"/>
          <w:sz w:val="22"/>
        </w:rPr>
        <w:t>New Life</w:t>
      </w:r>
      <w:r>
        <w:rPr>
          <w:rFonts w:eastAsia="等线" w:ascii="Arial" w:cs="Arial" w:hAnsi="Arial"/>
          <w:sz w:val="22"/>
        </w:rPr>
        <w:t>。视觉以义体、工业灰、黑色电线、藻绿色数据、九龙城寨风格街道为主；声音以傀儡谣风格 Techno 音乐为主，由网络脉冲、人声吟唱与工业节拍构成。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MoodBoard</w:t>
      </w:r>
      <w:bookmarkEnd w:id="1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9567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统一母题｜Shell · Ghost · Net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视觉与叙事统一取自 1995 年攻壳机动队剧场版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一套母题，贯穿赛道、空间与四天赛程：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Shell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是 Agent 进入现实的身体与接口，对应机器人、穿戴设备与消费硬件；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Ghost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是 Agent 持续的意图、记忆、推理与自主行动能力，对应网络原生 Agent 与数字生命；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Net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是多个 Agent、人和设备建立连接、分工与协商的环境，对应 Swarm、多 Agent 编排及生态协作。三者汇合，最终指向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New Life</w:t>
            </w:r>
            <w:r>
              <w:rPr>
                <w:rFonts w:eastAsia="等线" w:ascii="Arial" w:cs="Arial" w:hAnsi="Arial"/>
                <w:color w:val="646a73"/>
                <w:sz w:val="22"/>
              </w:rPr>
              <w:t>——一种此前不存在、但能在现场真实运行的新产品与新体验。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场地空间｜四大功能区</w:t>
      </w:r>
      <w:bookmarkEnd w:id="18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19" w:id="19"/>
            <w:r>
              <w:rPr>
                <w:rFonts w:eastAsia="等线" w:ascii="Arial" w:cs="Arial" w:hAnsi="Arial"/>
                <w:b w:val="true"/>
                <w:sz w:val="30"/>
              </w:rPr>
              <w:t>SPACE 01 · SHELL ASSEMBLY</w:t>
            </w:r>
            <w:bookmarkEnd w:id="19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「前广场」</w:t>
            </w:r>
            <w:r>
              <w:rPr>
                <w:rFonts w:eastAsia="等线" w:ascii="Arial" w:cs="Arial" w:hAnsi="Arial"/>
                <w:sz w:val="22"/>
              </w:rPr>
              <w:t>设置大型“义体装配/机甲塔奇克马”机械装置，成为所有参与者进入活动的第一张照片。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采用泡雕、玻璃钢反光涂层、金属骨架与可编程灯光，抽象提取义体骨架或塔奇克马的机械语言；角色与原作图形的直接使用以最终授权范围为准。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62050" cy="1362075"/>
                  <wp:docPr id="17" name="Drawing 1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在《攻壳机动队》的世界观中，塔奇克马是配属于公安九课的小型“思考战车”，它并非冰冷的战争机器，而是拥有高度人工智能、能够独立思考、行动甚至拥有自己休闲生活的智能机械。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62050" cy="1095375"/>
                  <wp:docPr id="18" name="Drawing 1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可延展为合作伙伴联合装置：硬件产品、品牌标识和赛道信息以机械铭牌、检修标签或发光接口的方式进入场景。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20" w:id="20"/>
            <w:r>
              <w:rPr>
                <w:rFonts w:eastAsia="等线" w:ascii="Arial" w:cs="Arial" w:hAnsi="Arial"/>
                <w:b w:val="true"/>
                <w:sz w:val="30"/>
              </w:rPr>
              <w:t>SPACE 02 · THE NET</w:t>
            </w:r>
            <w:bookmarkEnd w:id="20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「打卡区」</w:t>
            </w:r>
            <w:r>
              <w:rPr>
                <w:rFonts w:eastAsia="等线" w:ascii="Arial" w:cs="Arial" w:hAnsi="Arial"/>
                <w:sz w:val="22"/>
              </w:rPr>
              <w:t>设置悬吊线缆、纱幕投影、旧电子器件和局部全息显示，提供接入脑机接口的头盔供参赛选手打卡。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62050" cy="1162050"/>
                  <wp:docPr id="19" name="Drawing 1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参与者站入装置即可被多束软线缆与光纤从背后包围，带上脑机接口头盔，摄影机从正面完成一张“接入 The Net”的人物肖像，保证低门槛、高出片率和高通行效率。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62050" cy="581025"/>
                  <wp:docPr id="20" name="Drawing 2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核心装置与三块联动大屏共同承担开幕、Demo Show、颁奖及 Techno VJ Party 的视觉切换。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62050" cy="1162050"/>
                  <wp:docPr id="21" name="Drawing 2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62050" cy="1933575"/>
                  <wp:docPr id="22" name="Drawing 2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21" w:id="21"/>
            <w:r>
              <w:rPr>
                <w:rFonts w:eastAsia="等线" w:ascii="Arial" w:cs="Arial" w:hAnsi="Arial"/>
                <w:b w:val="true"/>
                <w:sz w:val="30"/>
              </w:rPr>
              <w:t>SPACE 03 · THE FORGE</w:t>
            </w:r>
            <w:bookmarkEnd w:id="21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「主舞台」</w:t>
            </w:r>
            <w:r>
              <w:rPr>
                <w:rFonts w:eastAsia="等线" w:ascii="Arial" w:cs="Arial" w:hAnsi="Arial"/>
                <w:sz w:val="22"/>
              </w:rPr>
              <w:t>承担双重视觉功能：开幕式及 VJ Party。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「开幕式」</w:t>
            </w:r>
            <w:r>
              <w:rPr>
                <w:rFonts w:eastAsia="等线" w:ascii="Arial" w:cs="Arial" w:hAnsi="Arial"/>
                <w:sz w:val="22"/>
              </w:rPr>
              <w:t>舞台中央采用抽象的义体轮廓或“线缆之茧”，配合机械装配声和灯光逐级启动，完成开幕式的 Shell Activation。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悬吊装置使用非写实轮廓与安全软材质，避免安全风险。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62050" cy="1514475"/>
                  <wp:docPr id="23" name="Drawing 2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62050" cy="771525"/>
                  <wp:docPr id="24" name="Drawing 2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「VJ Party」</w:t>
            </w:r>
            <w:r>
              <w:rPr>
                <w:rFonts w:eastAsia="等线" w:ascii="Arial" w:cs="Arial" w:hAnsi="Arial"/>
                <w:sz w:val="22"/>
              </w:rPr>
              <w:t>使用义体装配、网络拓扑、电线剪影等符号进行 AI 生成。Day 3  冲刺夜，主舞台准时开启 Techno Rave VJ Party 狂欢。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62050" cy="1543050"/>
                  <wp:docPr id="25" name="Drawing 2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62050" cy="1724025"/>
                  <wp:docPr id="26" name="Drawing 2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22" w:id="22"/>
            <w:r>
              <w:rPr>
                <w:rFonts w:eastAsia="等线" w:ascii="Arial" w:cs="Arial" w:hAnsi="Arial"/>
                <w:b w:val="true"/>
                <w:sz w:val="30"/>
              </w:rPr>
              <w:t>SPACE 04 · OFFLINE MODE</w:t>
            </w:r>
            <w:bookmarkEnd w:id="22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「过夜区」</w:t>
            </w:r>
            <w:r>
              <w:rPr>
                <w:rFonts w:eastAsia="等线" w:ascii="Arial" w:cs="Arial" w:hAnsi="Arial"/>
                <w:sz w:val="22"/>
              </w:rPr>
              <w:t>按不超过 400 人现场过夜配置软垫、睡袋、耳塞与轻隔断，优先采用品牌合作及可重复使用物料。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过夜区位于 3 层俯瞰空间，与主舞台保持声光隔离，并保留选手外宿酒店自由。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62050" cy="1162050"/>
                  <wp:docPr id="27" name="Drawing 2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62050" cy="1543050"/>
                  <wp:docPr id="28" name="Drawing 2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户外动线｜让活动在入场前就已经发生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ING 创空间正立面天然具备“远看赛事、近看品牌、到场打卡”的三级传播条件。户外视觉不只承担导视，而是把五条赛道、主 KV 与合作伙伴内容组织成一条完整的入场故事。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01｜园区到前广场：视觉引导预热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从地铁来向到场馆正门，以主题旗帜、赛道编号和网络节点标记形成连续动线。物料承接活动口号、合作伙伴身份与当日议程，让参与者尚未进入场馆便开始感受“接入 The Net”氛围。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3295650"/>
                  <wp:docPr id="29" name="Drawing 2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02｜正门上方：五大赛道长幅海报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利用尺寸为 18×8m 的外墙广告位，将五条赛道设计为五幅纵向“城市旗帜”：Shell Forge、Cyberbody、Ghost Network、Section 9、New Life。远距离先看到赛事规模，近距离再读取赛道、冠名伙伴和技术关键词。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857375"/>
                  <wp:docPr id="30" name="Drawing 3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03｜正门海报展架：主题视觉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静态主海报展架：以 6.5×3.5m 的入口展架作为现场主视觉界面，集中呈现活动主 KV、四天赛程、嘉宾阵容、合作伙伴联合内容。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647825"/>
                  <wp:docPr id="31" name="Drawing 3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空间规划草图</w:t>
      </w:r>
      <w:bookmarkEnd w:id="2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67075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color w:val="2ea121"/>
          <w:sz w:val="36"/>
        </w:rPr>
        <w:t>过往活动链接</w:t>
      </w:r>
      <w:bookmarkEnd w:id="25"/>
    </w:p>
    <w:p>
      <w:pPr>
        <w:spacing w:before="120" w:after="120" w:line="288" w:lineRule="auto"/>
        <w:ind w:left="0"/>
        <w:jc w:val="left"/>
      </w:pPr>
      <w:hyperlink r:id="rId39">
        <w:r>
          <w:rPr>
            <w:rFonts w:eastAsia="等线" w:ascii="Arial" w:cs="Arial" w:hAnsi="Arial"/>
            <w:color w:val="3370ff"/>
            <w:sz w:val="22"/>
          </w:rPr>
          <w:t>上海场回顾</w:t>
        </w:r>
      </w:hyperlink>
      <w:r>
        <w:rPr>
          <w:rFonts w:eastAsia="等线" w:ascii="Arial" w:cs="Arial" w:hAnsi="Arial"/>
          <w:sz w:val="22"/>
        </w:rPr>
        <w:t>｜</w:t>
      </w:r>
      <w:hyperlink r:id="rId40">
        <w:r>
          <w:rPr>
            <w:rFonts w:eastAsia="等线" w:ascii="Arial" w:cs="Arial" w:hAnsi="Arial"/>
            <w:color w:val="3370ff"/>
            <w:sz w:val="22"/>
          </w:rPr>
          <w:t>上海选手项目</w:t>
        </w:r>
      </w:hyperlink>
    </w:p>
    <w:p>
      <w:pPr>
        <w:spacing w:before="120" w:after="120" w:line="288" w:lineRule="auto"/>
        <w:ind w:left="0"/>
        <w:jc w:val="left"/>
      </w:pPr>
      <w:hyperlink r:id="rId41">
        <w:r>
          <w:rPr>
            <w:rFonts w:eastAsia="等线" w:ascii="Arial" w:cs="Arial" w:hAnsi="Arial"/>
            <w:color w:val="3370ff"/>
            <w:sz w:val="22"/>
          </w:rPr>
          <w:t>北京场回顾</w:t>
        </w:r>
      </w:hyperlink>
      <w:r>
        <w:rPr>
          <w:rFonts w:eastAsia="等线" w:ascii="Arial" w:cs="Arial" w:hAnsi="Arial"/>
          <w:sz w:val="22"/>
        </w:rPr>
        <w:t>｜</w:t>
      </w:r>
      <w:hyperlink r:id="rId42">
        <w:r>
          <w:rPr>
            <w:rFonts w:eastAsia="等线" w:ascii="Arial" w:cs="Arial" w:hAnsi="Arial"/>
            <w:color w:val="3370ff"/>
            <w:sz w:val="22"/>
          </w:rPr>
          <w:t>北京选手项目</w:t>
        </w:r>
      </w:hyperlink>
    </w:p>
    <w:p>
      <w:pPr>
        <w:spacing w:before="120" w:after="120" w:line="288" w:lineRule="auto"/>
        <w:ind w:left="0"/>
        <w:jc w:val="left"/>
      </w:pPr>
      <w:hyperlink r:id="rId43">
        <w:r>
          <w:rPr>
            <w:rFonts w:eastAsia="等线" w:ascii="Arial" w:cs="Arial" w:hAnsi="Arial"/>
            <w:color w:val="3370ff"/>
            <w:sz w:val="22"/>
          </w:rPr>
          <w:t>杭州场回顾</w:t>
        </w:r>
      </w:hyperlink>
      <w:r>
        <w:rPr>
          <w:rFonts w:eastAsia="等线" w:ascii="Arial" w:cs="Arial" w:hAnsi="Arial"/>
          <w:sz w:val="22"/>
        </w:rPr>
        <w:t>｜</w:t>
      </w:r>
      <w:hyperlink r:id="rId44">
        <w:r>
          <w:rPr>
            <w:rFonts w:eastAsia="等线" w:ascii="Arial" w:cs="Arial" w:hAnsi="Arial"/>
            <w:color w:val="3370ff"/>
            <w:sz w:val="22"/>
          </w:rPr>
          <w:t>杭州选手项目</w:t>
        </w:r>
      </w:hyperlink>
    </w:p>
    <w:p>
      <w:pPr>
        <w:spacing w:before="120" w:after="120" w:line="288" w:lineRule="auto"/>
        <w:ind w:left="0"/>
        <w:jc w:val="left"/>
      </w:pPr>
      <w:hyperlink r:id="rId45">
        <w:r>
          <w:rPr>
            <w:rFonts w:eastAsia="等线" w:ascii="Arial" w:cs="Arial" w:hAnsi="Arial"/>
            <w:color w:val="3370ff"/>
            <w:sz w:val="22"/>
          </w:rPr>
          <w:t>历届黑客松活动入口</w:t>
        </w:r>
      </w:hyperlink>
    </w:p>
    <w:p>
      <w:pPr>
        <w:spacing w:before="120" w:after="120" w:line="288" w:lineRule="auto"/>
        <w:ind w:left="0"/>
        <w:jc w:val="left"/>
      </w:pPr>
      <w:hyperlink r:id="rId46">
        <w:r>
          <w:rPr>
            <w:rFonts w:eastAsia="等线" w:ascii="Arial" w:cs="Arial" w:hAnsi="Arial"/>
            <w:color w:val="3370ff"/>
            <w:sz w:val="22"/>
          </w:rPr>
          <w:t>关于我们</w:t>
        </w:r>
      </w:hyperlink>
    </w:p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BUILD THE SHELL. ACTIVATE THE GHOST. ENTER THE NET.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把智能做进现实。2026 年 9 月 21—24 日，深圳见。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活动日期、场地、组织架构、嘉宾以最终官宣为准。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72873">
    <w:lvl>
      <w:numFmt w:val="bullet"/>
      <w:suff w:val="tab"/>
      <w:lvlText w:val="•"/>
      <w:rPr>
        <w:color w:val="3370ff"/>
      </w:rPr>
    </w:lvl>
  </w:abstractNum>
  <w:abstractNum w:abstractNumId="572874">
    <w:lvl>
      <w:numFmt w:val="bullet"/>
      <w:suff w:val="tab"/>
      <w:lvlText w:val="•"/>
      <w:rPr>
        <w:color w:val="3370ff"/>
      </w:rPr>
    </w:lvl>
  </w:abstractNum>
  <w:abstractNum w:abstractNumId="572875">
    <w:lvl>
      <w:numFmt w:val="bullet"/>
      <w:suff w:val="tab"/>
      <w:lvlText w:val="•"/>
      <w:rPr>
        <w:color w:val="3370ff"/>
      </w:rPr>
    </w:lvl>
  </w:abstractNum>
  <w:abstractNum w:abstractNumId="572876">
    <w:lvl>
      <w:numFmt w:val="bullet"/>
      <w:suff w:val="tab"/>
      <w:lvlText w:val="•"/>
      <w:rPr>
        <w:color w:val="3370ff"/>
      </w:rPr>
    </w:lvl>
  </w:abstractNum>
  <w:abstractNum w:abstractNumId="572877">
    <w:lvl>
      <w:numFmt w:val="bullet"/>
      <w:suff w:val="tab"/>
      <w:lvlText w:val="•"/>
      <w:rPr>
        <w:color w:val="3370ff"/>
      </w:rPr>
    </w:lvl>
  </w:abstractNum>
  <w:abstractNum w:abstractNumId="572878">
    <w:lvl>
      <w:numFmt w:val="bullet"/>
      <w:suff w:val="tab"/>
      <w:lvlText w:val="•"/>
      <w:rPr>
        <w:color w:val="3370ff"/>
      </w:rPr>
    </w:lvl>
  </w:abstractNum>
  <w:abstractNum w:abstractNumId="572879">
    <w:lvl>
      <w:numFmt w:val="bullet"/>
      <w:suff w:val="tab"/>
      <w:lvlText w:val="•"/>
      <w:rPr>
        <w:color w:val="3370ff"/>
      </w:rPr>
    </w:lvl>
  </w:abstractNum>
  <w:abstractNum w:abstractNumId="572880">
    <w:lvl>
      <w:numFmt w:val="bullet"/>
      <w:suff w:val="tab"/>
      <w:lvlText w:val="•"/>
      <w:rPr>
        <w:color w:val="3370ff"/>
      </w:rPr>
    </w:lvl>
  </w:abstractNum>
  <w:abstractNum w:abstractNumId="572881">
    <w:lvl>
      <w:numFmt w:val="bullet"/>
      <w:suff w:val="tab"/>
      <w:lvlText w:val="•"/>
      <w:rPr>
        <w:color w:val="3370ff"/>
      </w:rPr>
    </w:lvl>
  </w:abstractNum>
  <w:abstractNum w:abstractNumId="572882">
    <w:lvl>
      <w:numFmt w:val="bullet"/>
      <w:suff w:val="tab"/>
      <w:lvlText w:val="•"/>
      <w:rPr>
        <w:color w:val="3370ff"/>
      </w:rPr>
    </w:lvl>
  </w:abstractNum>
  <w:abstractNum w:abstractNumId="572883">
    <w:lvl>
      <w:numFmt w:val="bullet"/>
      <w:suff w:val="tab"/>
      <w:lvlText w:val="•"/>
      <w:rPr>
        <w:color w:val="3370ff"/>
      </w:rPr>
    </w:lvl>
  </w:abstractNum>
  <w:abstractNum w:abstractNumId="572884">
    <w:lvl>
      <w:numFmt w:val="bullet"/>
      <w:suff w:val="tab"/>
      <w:lvlText w:val="•"/>
      <w:rPr>
        <w:color w:val="3370ff"/>
      </w:rPr>
    </w:lvl>
  </w:abstractNum>
  <w:abstractNum w:abstractNumId="572885">
    <w:lvl>
      <w:numFmt w:val="bullet"/>
      <w:suff w:val="tab"/>
      <w:lvlText w:val="•"/>
      <w:rPr>
        <w:color w:val="3370ff"/>
      </w:rPr>
    </w:lvl>
  </w:abstractNum>
  <w:abstractNum w:abstractNumId="572886">
    <w:lvl>
      <w:numFmt w:val="bullet"/>
      <w:suff w:val="tab"/>
      <w:lvlText w:val="•"/>
      <w:rPr>
        <w:color w:val="3370ff"/>
      </w:rPr>
    </w:lvl>
  </w:abstractNum>
  <w:abstractNum w:abstractNumId="572887">
    <w:lvl>
      <w:numFmt w:val="bullet"/>
      <w:suff w:val="tab"/>
      <w:lvlText w:val="•"/>
      <w:rPr>
        <w:color w:val="3370ff"/>
      </w:rPr>
    </w:lvl>
  </w:abstractNum>
  <w:abstractNum w:abstractNumId="572888">
    <w:lvl>
      <w:numFmt w:val="bullet"/>
      <w:suff w:val="tab"/>
      <w:lvlText w:val="•"/>
      <w:rPr>
        <w:color w:val="3370ff"/>
      </w:rPr>
    </w:lvl>
  </w:abstractNum>
  <w:abstractNum w:abstractNumId="572889">
    <w:lvl>
      <w:numFmt w:val="bullet"/>
      <w:suff w:val="tab"/>
      <w:lvlText w:val="•"/>
      <w:rPr>
        <w:color w:val="3370ff"/>
      </w:rPr>
    </w:lvl>
  </w:abstractNum>
  <w:abstractNum w:abstractNumId="572890">
    <w:lvl>
      <w:numFmt w:val="bullet"/>
      <w:suff w:val="tab"/>
      <w:lvlText w:val="•"/>
      <w:rPr>
        <w:color w:val="3370ff"/>
      </w:rPr>
    </w:lvl>
  </w:abstractNum>
  <w:abstractNum w:abstractNumId="572891">
    <w:lvl>
      <w:numFmt w:val="bullet"/>
      <w:suff w:val="tab"/>
      <w:lvlText w:val="•"/>
      <w:rPr>
        <w:color w:val="3370ff"/>
      </w:rPr>
    </w:lvl>
  </w:abstractNum>
  <w:abstractNum w:abstractNumId="572892">
    <w:lvl>
      <w:numFmt w:val="bullet"/>
      <w:suff w:val="tab"/>
      <w:lvlText w:val="•"/>
      <w:rPr>
        <w:color w:val="3370ff"/>
      </w:rPr>
    </w:lvl>
  </w:abstractNum>
  <w:abstractNum w:abstractNumId="572893">
    <w:lvl>
      <w:start w:val="1"/>
      <w:numFmt w:val="decimal"/>
      <w:suff w:val="tab"/>
      <w:lvlText w:val="%1."/>
      <w:rPr>
        <w:color w:val="3370ff"/>
      </w:rPr>
    </w:lvl>
  </w:abstractNum>
  <w:abstractNum w:abstractNumId="572894">
    <w:lvl>
      <w:start w:val="2"/>
      <w:numFmt w:val="decimal"/>
      <w:suff w:val="tab"/>
      <w:lvlText w:val="%1."/>
      <w:rPr>
        <w:color w:val="3370ff"/>
      </w:rPr>
    </w:lvl>
  </w:abstractNum>
  <w:abstractNum w:abstractNumId="572895">
    <w:lvl>
      <w:start w:val="3"/>
      <w:numFmt w:val="decimal"/>
      <w:suff w:val="tab"/>
      <w:lvlText w:val="%1."/>
      <w:rPr>
        <w:color w:val="3370ff"/>
      </w:rPr>
    </w:lvl>
  </w:abstractNum>
  <w:abstractNum w:abstractNumId="572896">
    <w:lvl>
      <w:start w:val="4"/>
      <w:numFmt w:val="decimal"/>
      <w:suff w:val="tab"/>
      <w:lvlText w:val="%1."/>
      <w:rPr>
        <w:color w:val="3370ff"/>
      </w:rPr>
    </w:lvl>
  </w:abstractNum>
  <w:abstractNum w:abstractNumId="572897">
    <w:lvl>
      <w:start w:val="5"/>
      <w:numFmt w:val="decimal"/>
      <w:suff w:val="tab"/>
      <w:lvlText w:val="%1."/>
      <w:rPr>
        <w:color w:val="3370ff"/>
      </w:rPr>
    </w:lvl>
  </w:abstractNum>
  <w:abstractNum w:abstractNumId="572898">
    <w:lvl>
      <w:numFmt w:val="bullet"/>
      <w:suff w:val="tab"/>
      <w:lvlText w:val="•"/>
      <w:rPr>
        <w:color w:val="3370ff"/>
      </w:rPr>
    </w:lvl>
  </w:abstractNum>
  <w:abstractNum w:abstractNumId="572899">
    <w:lvl>
      <w:numFmt w:val="bullet"/>
      <w:suff w:val="tab"/>
      <w:lvlText w:val="•"/>
      <w:rPr>
        <w:color w:val="3370ff"/>
      </w:rPr>
    </w:lvl>
  </w:abstractNum>
  <w:abstractNum w:abstractNumId="572900">
    <w:lvl>
      <w:numFmt w:val="bullet"/>
      <w:suff w:val="tab"/>
      <w:lvlText w:val="•"/>
      <w:rPr>
        <w:color w:val="3370ff"/>
      </w:rPr>
    </w:lvl>
  </w:abstractNum>
  <w:abstractNum w:abstractNumId="572901">
    <w:lvl>
      <w:numFmt w:val="bullet"/>
      <w:suff w:val="tab"/>
      <w:lvlText w:val="•"/>
      <w:rPr>
        <w:color w:val="3370ff"/>
      </w:rPr>
    </w:lvl>
  </w:abstractNum>
  <w:abstractNum w:abstractNumId="572902">
    <w:lvl>
      <w:numFmt w:val="bullet"/>
      <w:suff w:val="tab"/>
      <w:lvlText w:val="•"/>
      <w:rPr>
        <w:color w:val="3370ff"/>
      </w:rPr>
    </w:lvl>
  </w:abstractNum>
  <w:abstractNum w:abstractNumId="572903">
    <w:lvl>
      <w:numFmt w:val="bullet"/>
      <w:suff w:val="tab"/>
      <w:lvlText w:val="•"/>
      <w:rPr>
        <w:color w:val="3370ff"/>
      </w:rPr>
    </w:lvl>
  </w:abstractNum>
  <w:abstractNum w:abstractNumId="572904">
    <w:lvl>
      <w:numFmt w:val="bullet"/>
      <w:suff w:val="tab"/>
      <w:lvlText w:val="•"/>
      <w:rPr>
        <w:color w:val="3370ff"/>
      </w:rPr>
    </w:lvl>
  </w:abstractNum>
  <w:abstractNum w:abstractNumId="572905">
    <w:lvl>
      <w:numFmt w:val="bullet"/>
      <w:suff w:val="tab"/>
      <w:lvlText w:val="•"/>
      <w:rPr>
        <w:color w:val="3370ff"/>
      </w:rPr>
    </w:lvl>
  </w:abstractNum>
  <w:abstractNum w:abstractNumId="572906">
    <w:lvl>
      <w:numFmt w:val="bullet"/>
      <w:suff w:val="tab"/>
      <w:lvlText w:val="•"/>
      <w:rPr>
        <w:color w:val="3370ff"/>
      </w:rPr>
    </w:lvl>
  </w:abstractNum>
  <w:abstractNum w:abstractNumId="572907">
    <w:lvl>
      <w:numFmt w:val="bullet"/>
      <w:suff w:val="tab"/>
      <w:lvlText w:val="•"/>
      <w:rPr>
        <w:color w:val="3370ff"/>
      </w:rPr>
    </w:lvl>
  </w:abstractNum>
  <w:abstractNum w:abstractNumId="572908">
    <w:lvl>
      <w:numFmt w:val="bullet"/>
      <w:suff w:val="tab"/>
      <w:lvlText w:val="•"/>
      <w:rPr>
        <w:color w:val="3370ff"/>
      </w:rPr>
    </w:lvl>
  </w:abstractNum>
  <w:abstractNum w:abstractNumId="572909">
    <w:lvl>
      <w:numFmt w:val="bullet"/>
      <w:suff w:val="tab"/>
      <w:lvlText w:val="•"/>
      <w:rPr>
        <w:color w:val="3370ff"/>
      </w:rPr>
    </w:lvl>
  </w:abstractNum>
  <w:abstractNum w:abstractNumId="572910">
    <w:lvl>
      <w:numFmt w:val="bullet"/>
      <w:suff w:val="tab"/>
      <w:lvlText w:val="•"/>
      <w:rPr>
        <w:color w:val="3370ff"/>
      </w:rPr>
    </w:lvl>
  </w:abstractNum>
  <w:abstractNum w:abstractNumId="572911">
    <w:lvl>
      <w:numFmt w:val="bullet"/>
      <w:suff w:val="tab"/>
      <w:lvlText w:val="•"/>
      <w:rPr>
        <w:color w:val="3370ff"/>
      </w:rPr>
    </w:lvl>
  </w:abstractNum>
  <w:abstractNum w:abstractNumId="572912">
    <w:lvl>
      <w:numFmt w:val="bullet"/>
      <w:suff w:val="tab"/>
      <w:lvlText w:val="•"/>
      <w:rPr>
        <w:color w:val="3370ff"/>
      </w:rPr>
    </w:lvl>
  </w:abstractNum>
  <w:abstractNum w:abstractNumId="572913">
    <w:lvl>
      <w:numFmt w:val="bullet"/>
      <w:suff w:val="tab"/>
      <w:lvlText w:val="•"/>
      <w:rPr>
        <w:color w:val="3370ff"/>
      </w:rPr>
    </w:lvl>
  </w:abstractNum>
  <w:abstractNum w:abstractNumId="572914">
    <w:lvl>
      <w:numFmt w:val="bullet"/>
      <w:suff w:val="tab"/>
      <w:lvlText w:val="•"/>
      <w:rPr>
        <w:color w:val="3370ff"/>
      </w:rPr>
    </w:lvl>
  </w:abstractNum>
  <w:abstractNum w:abstractNumId="572915">
    <w:lvl>
      <w:numFmt w:val="bullet"/>
      <w:suff w:val="tab"/>
      <w:lvlText w:val="•"/>
      <w:rPr>
        <w:color w:val="3370ff"/>
      </w:rPr>
    </w:lvl>
  </w:abstractNum>
  <w:abstractNum w:abstractNumId="572916">
    <w:lvl>
      <w:numFmt w:val="bullet"/>
      <w:suff w:val="tab"/>
      <w:lvlText w:val="•"/>
      <w:rPr>
        <w:color w:val="3370ff"/>
      </w:rPr>
    </w:lvl>
  </w:abstractNum>
  <w:abstractNum w:abstractNumId="572917">
    <w:lvl>
      <w:numFmt w:val="bullet"/>
      <w:suff w:val="tab"/>
      <w:lvlText w:val="•"/>
      <w:rPr>
        <w:color w:val="3370ff"/>
      </w:rPr>
    </w:lvl>
  </w:abstractNum>
  <w:abstractNum w:abstractNumId="572918">
    <w:lvl>
      <w:numFmt w:val="bullet"/>
      <w:suff w:val="tab"/>
      <w:lvlText w:val="•"/>
      <w:rPr>
        <w:color w:val="3370ff"/>
      </w:rPr>
    </w:lvl>
  </w:abstractNum>
  <w:abstractNum w:abstractNumId="572919">
    <w:lvl>
      <w:numFmt w:val="bullet"/>
      <w:suff w:val="tab"/>
      <w:lvlText w:val="•"/>
      <w:rPr>
        <w:color w:val="3370ff"/>
      </w:rPr>
    </w:lvl>
  </w:abstractNum>
  <w:abstractNum w:abstractNumId="572920">
    <w:lvl>
      <w:numFmt w:val="bullet"/>
      <w:suff w:val="tab"/>
      <w:lvlText w:val="•"/>
      <w:rPr>
        <w:color w:val="3370ff"/>
      </w:rPr>
    </w:lvl>
  </w:abstractNum>
  <w:abstractNum w:abstractNumId="572921">
    <w:lvl>
      <w:numFmt w:val="bullet"/>
      <w:suff w:val="tab"/>
      <w:lvlText w:val="•"/>
      <w:rPr>
        <w:color w:val="3370ff"/>
      </w:rPr>
    </w:lvl>
  </w:abstractNum>
  <w:abstractNum w:abstractNumId="572922">
    <w:lvl>
      <w:numFmt w:val="bullet"/>
      <w:suff w:val="tab"/>
      <w:lvlText w:val="•"/>
      <w:rPr>
        <w:color w:val="3370ff"/>
      </w:rPr>
    </w:lvl>
  </w:abstractNum>
  <w:abstractNum w:abstractNumId="572923">
    <w:lvl>
      <w:numFmt w:val="bullet"/>
      <w:suff w:val="tab"/>
      <w:lvlText w:val="•"/>
      <w:rPr>
        <w:color w:val="3370ff"/>
      </w:rPr>
    </w:lvl>
  </w:abstractNum>
  <w:abstractNum w:abstractNumId="572924">
    <w:lvl>
      <w:numFmt w:val="bullet"/>
      <w:suff w:val="tab"/>
      <w:lvlText w:val="•"/>
      <w:rPr>
        <w:color w:val="3370ff"/>
      </w:rPr>
    </w:lvl>
  </w:abstractNum>
  <w:abstractNum w:abstractNumId="572925">
    <w:lvl>
      <w:numFmt w:val="bullet"/>
      <w:suff w:val="tab"/>
      <w:lvlText w:val="•"/>
      <w:rPr>
        <w:color w:val="3370ff"/>
      </w:rPr>
    </w:lvl>
  </w:abstractNum>
  <w:abstractNum w:abstractNumId="572926">
    <w:lvl>
      <w:numFmt w:val="bullet"/>
      <w:suff w:val="tab"/>
      <w:lvlText w:val="•"/>
      <w:rPr>
        <w:color w:val="3370ff"/>
      </w:rPr>
    </w:lvl>
  </w:abstractNum>
  <w:abstractNum w:abstractNumId="572927">
    <w:lvl>
      <w:numFmt w:val="bullet"/>
      <w:suff w:val="tab"/>
      <w:lvlText w:val="•"/>
      <w:rPr>
        <w:color w:val="3370ff"/>
      </w:rPr>
    </w:lvl>
  </w:abstractNum>
  <w:abstractNum w:abstractNumId="572928">
    <w:lvl>
      <w:numFmt w:val="bullet"/>
      <w:suff w:val="tab"/>
      <w:lvlText w:val="•"/>
      <w:rPr>
        <w:color w:val="3370ff"/>
      </w:rPr>
    </w:lvl>
  </w:abstractNum>
  <w:abstractNum w:abstractNumId="572929">
    <w:lvl>
      <w:numFmt w:val="bullet"/>
      <w:suff w:val="tab"/>
      <w:lvlText w:val="•"/>
      <w:rPr>
        <w:color w:val="3370ff"/>
      </w:rPr>
    </w:lvl>
  </w:abstractNum>
  <w:abstractNum w:abstractNumId="572930">
    <w:lvl>
      <w:numFmt w:val="bullet"/>
      <w:suff w:val="tab"/>
      <w:lvlText w:val="•"/>
      <w:rPr>
        <w:color w:val="3370ff"/>
      </w:rPr>
    </w:lvl>
  </w:abstractNum>
  <w:abstractNum w:abstractNumId="572931">
    <w:lvl>
      <w:numFmt w:val="bullet"/>
      <w:suff w:val="tab"/>
      <w:lvlText w:val="•"/>
      <w:rPr>
        <w:color w:val="3370ff"/>
      </w:rPr>
    </w:lvl>
  </w:abstractNum>
  <w:abstractNum w:abstractNumId="572932">
    <w:lvl>
      <w:numFmt w:val="bullet"/>
      <w:suff w:val="tab"/>
      <w:lvlText w:val="•"/>
      <w:rPr>
        <w:color w:val="3370ff"/>
      </w:rPr>
    </w:lvl>
  </w:abstractNum>
  <w:abstractNum w:abstractNumId="572933">
    <w:lvl>
      <w:numFmt w:val="bullet"/>
      <w:suff w:val="tab"/>
      <w:lvlText w:val="•"/>
      <w:rPr>
        <w:color w:val="3370ff"/>
      </w:rPr>
    </w:lvl>
  </w:abstractNum>
  <w:abstractNum w:abstractNumId="572934">
    <w:lvl>
      <w:numFmt w:val="bullet"/>
      <w:suff w:val="tab"/>
      <w:lvlText w:val="•"/>
      <w:rPr>
        <w:color w:val="3370ff"/>
      </w:rPr>
    </w:lvl>
  </w:abstractNum>
  <w:abstractNum w:abstractNumId="572935">
    <w:lvl>
      <w:numFmt w:val="bullet"/>
      <w:suff w:val="tab"/>
      <w:lvlText w:val="•"/>
      <w:rPr>
        <w:color w:val="3370ff"/>
      </w:rPr>
    </w:lvl>
  </w:abstractNum>
  <w:abstractNum w:abstractNumId="572936">
    <w:lvl>
      <w:numFmt w:val="bullet"/>
      <w:suff w:val="tab"/>
      <w:lvlText w:val="•"/>
      <w:rPr>
        <w:color w:val="3370ff"/>
      </w:rPr>
    </w:lvl>
  </w:abstractNum>
  <w:abstractNum w:abstractNumId="572937">
    <w:lvl>
      <w:numFmt w:val="bullet"/>
      <w:suff w:val="tab"/>
      <w:lvlText w:val="•"/>
      <w:rPr>
        <w:color w:val="3370ff"/>
      </w:rPr>
    </w:lvl>
  </w:abstractNum>
  <w:abstractNum w:abstractNumId="572938">
    <w:lvl>
      <w:numFmt w:val="bullet"/>
      <w:suff w:val="tab"/>
      <w:lvlText w:val="•"/>
      <w:rPr>
        <w:color w:val="3370ff"/>
      </w:rPr>
    </w:lvl>
  </w:abstractNum>
  <w:abstractNum w:abstractNumId="572939">
    <w:lvl>
      <w:numFmt w:val="bullet"/>
      <w:suff w:val="tab"/>
      <w:lvlText w:val="•"/>
      <w:rPr>
        <w:color w:val="3370ff"/>
      </w:rPr>
    </w:lvl>
  </w:abstractNum>
  <w:abstractNum w:abstractNumId="572940">
    <w:lvl>
      <w:numFmt w:val="bullet"/>
      <w:suff w:val="tab"/>
      <w:lvlText w:val="•"/>
      <w:rPr>
        <w:color w:val="3370ff"/>
      </w:rPr>
    </w:lvl>
  </w:abstractNum>
  <w:abstractNum w:abstractNumId="572941">
    <w:lvl>
      <w:numFmt w:val="bullet"/>
      <w:suff w:val="tab"/>
      <w:lvlText w:val="•"/>
      <w:rPr>
        <w:color w:val="3370ff"/>
      </w:rPr>
    </w:lvl>
  </w:abstractNum>
  <w:abstractNum w:abstractNumId="572942">
    <w:lvl>
      <w:numFmt w:val="bullet"/>
      <w:suff w:val="tab"/>
      <w:lvlText w:val="•"/>
      <w:rPr>
        <w:color w:val="3370ff"/>
      </w:rPr>
    </w:lvl>
  </w:abstractNum>
  <w:abstractNum w:abstractNumId="572943">
    <w:lvl>
      <w:numFmt w:val="bullet"/>
      <w:suff w:val="tab"/>
      <w:lvlText w:val="•"/>
      <w:rPr>
        <w:color w:val="3370ff"/>
      </w:rPr>
    </w:lvl>
  </w:abstractNum>
  <w:abstractNum w:abstractNumId="572944">
    <w:lvl>
      <w:numFmt w:val="bullet"/>
      <w:suff w:val="tab"/>
      <w:lvlText w:val="•"/>
      <w:rPr>
        <w:color w:val="3370ff"/>
      </w:rPr>
    </w:lvl>
  </w:abstractNum>
  <w:abstractNum w:abstractNumId="572945">
    <w:lvl>
      <w:numFmt w:val="bullet"/>
      <w:suff w:val="tab"/>
      <w:lvlText w:val="•"/>
      <w:rPr>
        <w:color w:val="3370ff"/>
      </w:rPr>
    </w:lvl>
  </w:abstractNum>
  <w:abstractNum w:abstractNumId="572946">
    <w:lvl>
      <w:numFmt w:val="bullet"/>
      <w:suff w:val="tab"/>
      <w:lvlText w:val="•"/>
      <w:rPr>
        <w:color w:val="3370ff"/>
      </w:rPr>
    </w:lvl>
  </w:abstractNum>
  <w:abstractNum w:abstractNumId="572947">
    <w:lvl>
      <w:start w:val="1"/>
      <w:numFmt w:val="decimal"/>
      <w:suff w:val="tab"/>
      <w:lvlText w:val="%1."/>
      <w:rPr>
        <w:color w:val="3370ff"/>
      </w:rPr>
    </w:lvl>
  </w:abstractNum>
  <w:abstractNum w:abstractNumId="572948">
    <w:lvl>
      <w:numFmt w:val="bullet"/>
      <w:suff w:val="tab"/>
      <w:lvlText w:val="•"/>
      <w:rPr>
        <w:color w:val="3370ff"/>
      </w:rPr>
    </w:lvl>
  </w:abstractNum>
  <w:abstractNum w:abstractNumId="572949">
    <w:lvl>
      <w:numFmt w:val="bullet"/>
      <w:suff w:val="tab"/>
      <w:lvlText w:val="•"/>
      <w:rPr>
        <w:color w:val="3370ff"/>
      </w:rPr>
    </w:lvl>
  </w:abstractNum>
  <w:abstractNum w:abstractNumId="572950">
    <w:lvl>
      <w:numFmt w:val="bullet"/>
      <w:suff w:val="tab"/>
      <w:lvlText w:val="•"/>
      <w:rPr>
        <w:color w:val="3370ff"/>
      </w:rPr>
    </w:lvl>
  </w:abstractNum>
  <w:abstractNum w:abstractNumId="572951">
    <w:lvl>
      <w:numFmt w:val="bullet"/>
      <w:suff w:val="tab"/>
      <w:lvlText w:val="•"/>
      <w:rPr>
        <w:color w:val="3370ff"/>
      </w:rPr>
    </w:lvl>
  </w:abstractNum>
  <w:abstractNum w:abstractNumId="572952">
    <w:lvl>
      <w:numFmt w:val="bullet"/>
      <w:suff w:val="tab"/>
      <w:lvlText w:val="•"/>
      <w:rPr>
        <w:color w:val="3370ff"/>
      </w:rPr>
    </w:lvl>
  </w:abstractNum>
  <w:abstractNum w:abstractNumId="572953">
    <w:lvl>
      <w:numFmt w:val="bullet"/>
      <w:suff w:val="tab"/>
      <w:lvlText w:val="•"/>
      <w:rPr>
        <w:color w:val="3370ff"/>
      </w:rPr>
    </w:lvl>
  </w:abstractNum>
  <w:abstractNum w:abstractNumId="572954">
    <w:lvl>
      <w:numFmt w:val="bullet"/>
      <w:suff w:val="tab"/>
      <w:lvlText w:val="•"/>
      <w:rPr>
        <w:color w:val="3370ff"/>
      </w:rPr>
    </w:lvl>
  </w:abstractNum>
  <w:abstractNum w:abstractNumId="572955">
    <w:lvl>
      <w:numFmt w:val="bullet"/>
      <w:suff w:val="tab"/>
      <w:lvlText w:val="•"/>
      <w:rPr>
        <w:color w:val="3370ff"/>
      </w:rPr>
    </w:lvl>
  </w:abstractNum>
  <w:abstractNum w:abstractNumId="572956">
    <w:lvl>
      <w:start w:val="1"/>
      <w:numFmt w:val="decimal"/>
      <w:suff w:val="tab"/>
      <w:lvlText w:val="%1."/>
      <w:rPr>
        <w:color w:val="3370ff"/>
      </w:rPr>
    </w:lvl>
  </w:abstractNum>
  <w:num w:numId="1">
    <w:abstractNumId w:val="572873"/>
  </w:num>
  <w:num w:numId="2">
    <w:abstractNumId w:val="572874"/>
  </w:num>
  <w:num w:numId="3">
    <w:abstractNumId w:val="572875"/>
  </w:num>
  <w:num w:numId="4">
    <w:abstractNumId w:val="572876"/>
  </w:num>
  <w:num w:numId="5">
    <w:abstractNumId w:val="572877"/>
  </w:num>
  <w:num w:numId="6">
    <w:abstractNumId w:val="572878"/>
  </w:num>
  <w:num w:numId="7">
    <w:abstractNumId w:val="572879"/>
  </w:num>
  <w:num w:numId="8">
    <w:abstractNumId w:val="572880"/>
  </w:num>
  <w:num w:numId="9">
    <w:abstractNumId w:val="572881"/>
  </w:num>
  <w:num w:numId="10">
    <w:abstractNumId w:val="572882"/>
  </w:num>
  <w:num w:numId="11">
    <w:abstractNumId w:val="572883"/>
  </w:num>
  <w:num w:numId="12">
    <w:abstractNumId w:val="572884"/>
  </w:num>
  <w:num w:numId="13">
    <w:abstractNumId w:val="572885"/>
  </w:num>
  <w:num w:numId="14">
    <w:abstractNumId w:val="572886"/>
  </w:num>
  <w:num w:numId="15">
    <w:abstractNumId w:val="572887"/>
  </w:num>
  <w:num w:numId="16">
    <w:abstractNumId w:val="572888"/>
  </w:num>
  <w:num w:numId="17">
    <w:abstractNumId w:val="572889"/>
  </w:num>
  <w:num w:numId="18">
    <w:abstractNumId w:val="572890"/>
  </w:num>
  <w:num w:numId="19">
    <w:abstractNumId w:val="572891"/>
  </w:num>
  <w:num w:numId="20">
    <w:abstractNumId w:val="572892"/>
  </w:num>
  <w:num w:numId="21">
    <w:abstractNumId w:val="572893"/>
  </w:num>
  <w:num w:numId="22">
    <w:abstractNumId w:val="572894"/>
  </w:num>
  <w:num w:numId="23">
    <w:abstractNumId w:val="572895"/>
  </w:num>
  <w:num w:numId="24">
    <w:abstractNumId w:val="572896"/>
  </w:num>
  <w:num w:numId="25">
    <w:abstractNumId w:val="572897"/>
  </w:num>
  <w:num w:numId="26">
    <w:abstractNumId w:val="572898"/>
  </w:num>
  <w:num w:numId="27">
    <w:abstractNumId w:val="572899"/>
  </w:num>
  <w:num w:numId="28">
    <w:abstractNumId w:val="572900"/>
  </w:num>
  <w:num w:numId="29">
    <w:abstractNumId w:val="572901"/>
  </w:num>
  <w:num w:numId="30">
    <w:abstractNumId w:val="572902"/>
  </w:num>
  <w:num w:numId="31">
    <w:abstractNumId w:val="572903"/>
  </w:num>
  <w:num w:numId="32">
    <w:abstractNumId w:val="572904"/>
  </w:num>
  <w:num w:numId="33">
    <w:abstractNumId w:val="572905"/>
  </w:num>
  <w:num w:numId="34">
    <w:abstractNumId w:val="572906"/>
  </w:num>
  <w:num w:numId="35">
    <w:abstractNumId w:val="572907"/>
  </w:num>
  <w:num w:numId="36">
    <w:abstractNumId w:val="572908"/>
  </w:num>
  <w:num w:numId="37">
    <w:abstractNumId w:val="572909"/>
  </w:num>
  <w:num w:numId="38">
    <w:abstractNumId w:val="572910"/>
  </w:num>
  <w:num w:numId="39">
    <w:abstractNumId w:val="572911"/>
  </w:num>
  <w:num w:numId="40">
    <w:abstractNumId w:val="572912"/>
  </w:num>
  <w:num w:numId="41">
    <w:abstractNumId w:val="572913"/>
  </w:num>
  <w:num w:numId="42">
    <w:abstractNumId w:val="572914"/>
  </w:num>
  <w:num w:numId="43">
    <w:abstractNumId w:val="572915"/>
  </w:num>
  <w:num w:numId="44">
    <w:abstractNumId w:val="572916"/>
  </w:num>
  <w:num w:numId="45">
    <w:abstractNumId w:val="572917"/>
  </w:num>
  <w:num w:numId="46">
    <w:abstractNumId w:val="572918"/>
  </w:num>
  <w:num w:numId="47">
    <w:abstractNumId w:val="572919"/>
  </w:num>
  <w:num w:numId="48">
    <w:abstractNumId w:val="572920"/>
  </w:num>
  <w:num w:numId="49">
    <w:abstractNumId w:val="572921"/>
  </w:num>
  <w:num w:numId="50">
    <w:abstractNumId w:val="572922"/>
  </w:num>
  <w:num w:numId="51">
    <w:abstractNumId w:val="572923"/>
  </w:num>
  <w:num w:numId="52">
    <w:abstractNumId w:val="572924"/>
  </w:num>
  <w:num w:numId="53">
    <w:abstractNumId w:val="572925"/>
  </w:num>
  <w:num w:numId="54">
    <w:abstractNumId w:val="572926"/>
  </w:num>
  <w:num w:numId="55">
    <w:abstractNumId w:val="572927"/>
  </w:num>
  <w:num w:numId="56">
    <w:abstractNumId w:val="572928"/>
  </w:num>
  <w:num w:numId="57">
    <w:abstractNumId w:val="572929"/>
  </w:num>
  <w:num w:numId="58">
    <w:abstractNumId w:val="572930"/>
  </w:num>
  <w:num w:numId="59">
    <w:abstractNumId w:val="572931"/>
  </w:num>
  <w:num w:numId="60">
    <w:abstractNumId w:val="572932"/>
  </w:num>
  <w:num w:numId="61">
    <w:abstractNumId w:val="572933"/>
  </w:num>
  <w:num w:numId="62">
    <w:abstractNumId w:val="572934"/>
  </w:num>
  <w:num w:numId="63">
    <w:abstractNumId w:val="572935"/>
  </w:num>
  <w:num w:numId="64">
    <w:abstractNumId w:val="572936"/>
  </w:num>
  <w:num w:numId="65">
    <w:abstractNumId w:val="572937"/>
  </w:num>
  <w:num w:numId="66">
    <w:abstractNumId w:val="572938"/>
  </w:num>
  <w:num w:numId="67">
    <w:abstractNumId w:val="572939"/>
  </w:num>
  <w:num w:numId="68">
    <w:abstractNumId w:val="572940"/>
  </w:num>
  <w:num w:numId="69">
    <w:abstractNumId w:val="572941"/>
  </w:num>
  <w:num w:numId="70">
    <w:abstractNumId w:val="572942"/>
  </w:num>
  <w:num w:numId="71">
    <w:abstractNumId w:val="572943"/>
  </w:num>
  <w:num w:numId="72">
    <w:abstractNumId w:val="572944"/>
  </w:num>
  <w:num w:numId="73">
    <w:abstractNumId w:val="572945"/>
  </w:num>
  <w:num w:numId="74">
    <w:abstractNumId w:val="572946"/>
  </w:num>
  <w:num w:numId="75">
    <w:abstractNumId w:val="572947"/>
  </w:num>
  <w:num w:numId="76">
    <w:abstractNumId w:val="572948"/>
  </w:num>
  <w:num w:numId="77">
    <w:abstractNumId w:val="572949"/>
  </w:num>
  <w:num w:numId="78">
    <w:abstractNumId w:val="572950"/>
  </w:num>
  <w:num w:numId="79">
    <w:abstractNumId w:val="572951"/>
  </w:num>
  <w:num w:numId="80">
    <w:abstractNumId w:val="572952"/>
  </w:num>
  <w:num w:numId="81">
    <w:abstractNumId w:val="572953"/>
  </w:num>
  <w:num w:numId="82">
    <w:abstractNumId w:val="572954"/>
  </w:num>
  <w:num w:numId="83">
    <w:abstractNumId w:val="572955"/>
  </w:num>
  <w:num w:numId="84">
    <w:abstractNumId w:val="57295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https://hackathon.evomap.ai/#editions" TargetMode="External" Type="http://schemas.openxmlformats.org/officeDocument/2006/relationships/hyperlink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media/image12.png" Type="http://schemas.openxmlformats.org/officeDocument/2006/relationships/image"/><Relationship Id="rId18" Target="media/image13.gif" Type="http://schemas.openxmlformats.org/officeDocument/2006/relationships/image"/><Relationship Id="rId19" Target="media/image14.png" Type="http://schemas.openxmlformats.org/officeDocument/2006/relationships/image"/><Relationship Id="rId2" Target="styles.xml" Type="http://schemas.openxmlformats.org/officeDocument/2006/relationships/styles"/><Relationship Id="rId20" Target="media/image15.png" Type="http://schemas.openxmlformats.org/officeDocument/2006/relationships/image"/><Relationship Id="rId21" Target="media/image16.png" Type="http://schemas.openxmlformats.org/officeDocument/2006/relationships/image"/><Relationship Id="rId22" Target="media/image17.jpeg" Type="http://schemas.openxmlformats.org/officeDocument/2006/relationships/image"/><Relationship Id="rId23" Target="media/image18.png" Type="http://schemas.openxmlformats.org/officeDocument/2006/relationships/image"/><Relationship Id="rId24" Target="media/image19.png" Type="http://schemas.openxmlformats.org/officeDocument/2006/relationships/image"/><Relationship Id="rId25" Target="media/image20.jpeg" Type="http://schemas.openxmlformats.org/officeDocument/2006/relationships/image"/><Relationship Id="rId26" Target="media/image21.png" Type="http://schemas.openxmlformats.org/officeDocument/2006/relationships/image"/><Relationship Id="rId27" Target="media/image22.png" Type="http://schemas.openxmlformats.org/officeDocument/2006/relationships/image"/><Relationship Id="rId28" Target="media/image23.png" Type="http://schemas.openxmlformats.org/officeDocument/2006/relationships/image"/><Relationship Id="rId29" Target="media/image24.png" Type="http://schemas.openxmlformats.org/officeDocument/2006/relationships/image"/><Relationship Id="rId3" Target="footer1.xml" Type="http://schemas.openxmlformats.org/officeDocument/2006/relationships/footer"/><Relationship Id="rId30" Target="media/image25.jpeg" Type="http://schemas.openxmlformats.org/officeDocument/2006/relationships/image"/><Relationship Id="rId31" Target="media/image26.png" Type="http://schemas.openxmlformats.org/officeDocument/2006/relationships/image"/><Relationship Id="rId32" Target="media/image27.png" Type="http://schemas.openxmlformats.org/officeDocument/2006/relationships/image"/><Relationship Id="rId33" Target="media/image28.png" Type="http://schemas.openxmlformats.org/officeDocument/2006/relationships/image"/><Relationship Id="rId34" Target="media/image29.png" Type="http://schemas.openxmlformats.org/officeDocument/2006/relationships/image"/><Relationship Id="rId35" Target="media/image30.png" Type="http://schemas.openxmlformats.org/officeDocument/2006/relationships/image"/><Relationship Id="rId36" Target="media/image31.png" Type="http://schemas.openxmlformats.org/officeDocument/2006/relationships/image"/><Relationship Id="rId37" Target="media/image32.png" Type="http://schemas.openxmlformats.org/officeDocument/2006/relationships/image"/><Relationship Id="rId38" Target="media/image33.png" Type="http://schemas.openxmlformats.org/officeDocument/2006/relationships/image"/><Relationship Id="rId39" Target="https://mp.weixin.qq.com/s/2A5YCGepSTuYu5aUfvjVIA" TargetMode="External" Type="http://schemas.openxmlformats.org/officeDocument/2006/relationships/hyperlink"/><Relationship Id="rId4" Target="numbering.xml" Type="http://schemas.openxmlformats.org/officeDocument/2006/relationships/numbering"/><Relationship Id="rId40" Target="https://hackathon.evomap.ai/shanghai" TargetMode="External" Type="http://schemas.openxmlformats.org/officeDocument/2006/relationships/hyperlink"/><Relationship Id="rId41" Target="https://mp.weixin.qq.com/s/HUuv8al63U_Lk3D4sCdFVA" TargetMode="External" Type="http://schemas.openxmlformats.org/officeDocument/2006/relationships/hyperlink"/><Relationship Id="rId42" Target="https://hackathon.evomap.ai/beijing" TargetMode="External" Type="http://schemas.openxmlformats.org/officeDocument/2006/relationships/hyperlink"/><Relationship Id="rId43" Target="https://mp.weixin.qq.com/s/hdgy36tlt-aP4sY3Wnp9rg?scene=1" TargetMode="External" Type="http://schemas.openxmlformats.org/officeDocument/2006/relationships/hyperlink"/><Relationship Id="rId44" Target="https://hackathon.evomap.ai/hangzhou" TargetMode="External" Type="http://schemas.openxmlformats.org/officeDocument/2006/relationships/hyperlink"/><Relationship Id="rId45" Target="https://hackathon.evomap.ai/#editions" TargetMode="External" Type="http://schemas.openxmlformats.org/officeDocument/2006/relationships/hyperlink"/><Relationship Id="rId46" Target="https://evomap.ai" TargetMode="External" Type="http://schemas.openxmlformats.org/officeDocument/2006/relationships/hyperlink"/><Relationship Id="rId47" Target="header1.xml" Type="http://schemas.openxmlformats.org/officeDocument/2006/relationships/header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2026-10-13T17:12:54Z</dcterms:created>
  <dc:creator>Apache POI</dc:creator>
</cp:coreProperties>
</file>