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评审手册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第一部分 · 评审手册（评审版）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欢迎担任 EvoTavern 进化酒馆黑客松（深圳收官场）评审。本手册只回答三件事：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到了现场找谁、按什么流程走、遇到问题怎么办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。评审日为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Day 4 · 9 月 24 日（周四）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，地点：深圳市宝安区 BREWTOWN 啤酒小镇 · MAO livehouse（主会场）。评审当天请随身携带本手册。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一、评审日速览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3135"/>
        <w:gridCol w:w="367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12:00–13:00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评委集合签到 + 规则与动线讲解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评委签到处完成身份核验，领取动线地图与物料包，由对接员引导就位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13:00–16:00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初赛游园评审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按专属动线完成所负责赛道作品评审，每项目至少 3 位评委独立打分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16:00–17:00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打分回收 + 后台核分 + 成绩公示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评委无需操作，可休息等候；四大赛道各 Top 2（共 8 队）晋级复赛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复赛路演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支队伍 × 单队 7 分钟，线上系统实时打分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18:00–18:45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复赛成绩复核 + 跨赛道终审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总榜大奖由跨赛道终审产生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18:45–19:30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颁奖典礼 + 合影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奖定案，颁奖前仅调整获奖名单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二、到场后第一步：找谁接待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到达后按入口引导牌前往</w:t>
      </w:r>
      <w:r>
        <w:rPr>
          <w:rFonts w:eastAsia="等线" w:ascii="Arial" w:cs="Arial" w:hAnsi="Arial"/>
          <w:b w:val="true"/>
          <w:sz w:val="22"/>
        </w:rPr>
        <w:t>评委签到处</w:t>
      </w:r>
      <w:r>
        <w:rPr>
          <w:rFonts w:eastAsia="等线" w:ascii="Arial" w:cs="Arial" w:hAnsi="Arial"/>
          <w:sz w:val="22"/>
        </w:rPr>
        <w:t>。签到工作人员完成身份核验后，发放</w:t>
      </w:r>
      <w:r>
        <w:rPr>
          <w:rFonts w:eastAsia="等线" w:ascii="Arial" w:cs="Arial" w:hAnsi="Arial"/>
          <w:b w:val="true"/>
          <w:sz w:val="22"/>
        </w:rPr>
        <w:t>动线地图 + 个人物料包</w:t>
      </w:r>
      <w:r>
        <w:rPr>
          <w:rFonts w:eastAsia="等线" w:ascii="Arial" w:cs="Arial" w:hAnsi="Arial"/>
          <w:sz w:val="22"/>
        </w:rPr>
        <w:t>，并把你交给你所在评审组的</w:t>
      </w:r>
      <w:r>
        <w:rPr>
          <w:rFonts w:eastAsia="等线" w:ascii="Arial" w:cs="Arial" w:hAnsi="Arial"/>
          <w:b w:val="true"/>
          <w:sz w:val="22"/>
        </w:rPr>
        <w:t>评审组对接员</w:t>
      </w:r>
      <w:r>
        <w:rPr>
          <w:rFonts w:eastAsia="等线" w:ascii="Arial" w:cs="Arial" w:hAnsi="Arial"/>
          <w:sz w:val="22"/>
        </w:rPr>
        <w:t>——对接员从签到起全程陪同，负责讲解规则、带路评审、回收打分表。</w:t>
      </w:r>
      <w:r>
        <w:rPr>
          <w:rFonts w:eastAsia="等线" w:ascii="Arial" w:cs="Arial" w:hAnsi="Arial"/>
          <w:b w:val="true"/>
          <w:sz w:val="22"/>
        </w:rPr>
        <w:t>评审期间任何问题，第一联系人都是你的对接员。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三、对接负责人一览表（找不到人就打表里的电话）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150"/>
        <w:gridCol w:w="3150"/>
        <w:gridCol w:w="1980"/>
      </w:tblGrid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事项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对接人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联系方式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签到、物料发放、引导就位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接待签到组（2 人）【待补：姓名】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【待补：电话】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评审规则讲解、陪同评审、打分表回收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你的评审组对接员（每组 1 名，分组名单签到时告知）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【待补：分组名单 + 电话】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 / 评委一对一接待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嘉宾组接待负责人：李世荣、谢中翊、黄浚铭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【待补：电话】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动线标注、翻场、场地协调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动线标注 / 翻场专员（2 人）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【待补：电话】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评委迟到补位、突发情况、打分异常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 / 应急专员（2 人）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【待补：电话】</w:t>
            </w:r>
          </w:p>
        </w:tc>
      </w:tr>
      <w:tr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志愿者与人力调度</w:t>
            </w:r>
          </w:p>
        </w:tc>
        <w:tc>
          <w:tcPr>
            <w:tcW w:w="31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陈锦辉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【待补：电话】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提示：找不到对应负责人时，就近找穿工作服、佩戴胸牌 / 腕带的现场工作人员，报你的组号即可。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四、怎么认出工作人员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现场工作人员统一着【待补：工作服样式 / 颜色】，佩戴【待补：胸牌 / 腕带样式与颜色】，胸牌标注岗位（签到 / 对接 / 机动 / 翻场）。评审佩戴【待补：评审胸牌样式】，工作人员凭此识别评审身份。</w:t>
        <w:br/>
      </w:r>
      <w:r>
        <w:rPr>
          <w:rFonts w:eastAsia="等线" w:ascii="Arial" w:cs="Arial" w:hAnsi="Arial"/>
          <w:sz w:val="22"/>
        </w:rPr>
        <w:t>【待补：工作服与胸牌 / 腕带实物照片】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五、场地动线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评审采用</w:t>
      </w:r>
      <w:r>
        <w:rPr>
          <w:rFonts w:eastAsia="等线" w:ascii="Arial" w:cs="Arial" w:hAnsi="Arial"/>
          <w:b w:val="true"/>
          <w:sz w:val="22"/>
        </w:rPr>
        <w:t>赛道专属动线</w:t>
      </w:r>
      <w:r>
        <w:rPr>
          <w:rFonts w:eastAsia="等线" w:ascii="Arial" w:cs="Arial" w:hAnsi="Arial"/>
          <w:sz w:val="22"/>
        </w:rPr>
        <w:t>：每位评审按个人专属动线地图，沿固定路径完成所负责赛道的作品评审。座位与赛道绑定，动线确定后不再调整。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场地动线母图</w:t>
      </w:r>
      <w:r>
        <w:rPr>
          <w:rFonts w:eastAsia="等线" w:ascii="Arial" w:cs="Arial" w:hAnsi="Arial"/>
          <w:sz w:val="22"/>
        </w:rPr>
        <w:t>（模板采用陈锦辉 9/11 场地版本；赛道标色于现场筹备日完成标注）：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【待补：场地动线母图 —— 采用陈锦辉 9/11 场地版本】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六、评审须知（重要）</w:t>
      </w:r>
      <w:bookmarkEnd w:id="6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评分规则</w:t>
      </w:r>
      <w:r>
        <w:rPr>
          <w:rFonts w:eastAsia="等线" w:ascii="Arial" w:cs="Arial" w:hAnsi="Arial"/>
          <w:sz w:val="22"/>
        </w:rPr>
        <w:t>：100 分制，按创意、技术复杂性、社会影响力三项维度打分；每个作品至少 3 名评委独立打分；评分统一上传系统留档，请勿在评审期间尝试影响计分流程。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遇到问题直接说</w:t>
      </w:r>
      <w:r>
        <w:rPr>
          <w:rFonts w:eastAsia="等线" w:ascii="Arial" w:cs="Arial" w:hAnsi="Arial"/>
          <w:sz w:val="22"/>
        </w:rPr>
        <w:t>：选手演示故障、场地噪音干扰、找不到项目位置、对打分规则有疑问——直接告知随行对接员处理，无需评委自行寻找其他岗位。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离场报备</w:t>
      </w:r>
      <w:r>
        <w:rPr>
          <w:rFonts w:eastAsia="等线" w:ascii="Arial" w:cs="Arial" w:hAnsi="Arial"/>
          <w:sz w:val="22"/>
        </w:rPr>
        <w:t>：中途需要短暂离场休息，请告知对接员并报备离场时间。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保管随身物品</w:t>
      </w:r>
      <w:r>
        <w:rPr>
          <w:rFonts w:eastAsia="等线" w:ascii="Arial" w:cs="Arial" w:hAnsi="Arial"/>
          <w:sz w:val="22"/>
        </w:rPr>
        <w:t>与物料包。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七、常见问题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Q1 迟到了怎么办？——直接拨打机动 / 应急电话（见第三节表格），由机动专员安排补位入场。</w:t>
        <w:br/>
        <w:t>Q2 我负责的赛道作品太多怎么办？——该赛道评审组会拆分为 2–3 个小组分别沿动线评审，跟随对接员指引即可。</w:t>
        <w:br/>
      </w:r>
      <w:r>
        <w:rPr>
          <w:rFonts w:eastAsia="等线" w:ascii="Arial" w:cs="Arial" w:hAnsi="Arial"/>
          <w:sz w:val="22"/>
        </w:rPr>
        <w:t>Q3 初赛结束后去哪？——16:00–17:00 为后台核分与成绩公示（评委无需操作），可休息等候；17:00 复赛路演开始，欢迎观看；终审由跨赛道终审完成。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第二部分 · 内部执行版（赛事组用）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v0.2 改版说明（9/14，按陈锦辉 9/12 反馈）：①拆分为「评审版（给评审看）+ 内部执行版（赛事组用）」两部分；②评审版新增到场接待指引、对接负责人一览表（含电话字段，待补）、工作人员识别（工作服/胸牌/腕带）、场地动线母图占位（采用陈锦辉 9/11 场地版本）；③原 v0.1 方案内容保留为内部执行版，评审日程、人手配置等工作表格沿用。电话、姓名、照片类【待补】项由赛事组在志愿者报名（9/13）后统一补齐。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依据：9/11 21:11「赛事筹备工作专项研讨会」定案（陈锦辉 × 周影桥）+ 9/11 双日会派单。赛道口径：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四大赛道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（SHELL FORGE / GHOST NETWORK / SECTION 9 / NEW LIFE）。场地方案均为初步框架，选手总人数与各赛道人数确定后按现场动态调整。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一、评审总框架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口径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评审时间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Day 4（9/24）13:00–16:00 初赛游园评审（3 小时，Agenda v1.4 定稿）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评审规模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 位评委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晋级机制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初赛成绩 → 四大赛道 Top 2（共 8 队）晋级复赛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复赛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17:00–18:00 路演（8 队 × 7min）；18:00–18:45 终审；18:45–19:30 颁奖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二、评审动线设计（9/11 专项会定案）</w:t>
      </w:r>
      <w:bookmarkEnd w:id="10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赛道确认</w:t>
      </w:r>
      <w:r>
        <w:rPr>
          <w:rFonts w:eastAsia="等线" w:ascii="Arial" w:cs="Arial" w:hAnsi="Arial"/>
          <w:sz w:val="22"/>
        </w:rPr>
        <w:t>：首日组织选手填写问卷确认所属赛道；利用选手选定座位后不愿更换的特性，将座位与赛道属性绑定。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动线绘制</w:t>
      </w:r>
      <w:r>
        <w:rPr>
          <w:rFonts w:eastAsia="等线" w:ascii="Arial" w:cs="Arial" w:hAnsi="Arial"/>
          <w:sz w:val="22"/>
        </w:rPr>
        <w:t>：次日在座椅排布图上为各赛道座位标注对应颜色，按赛道归属串联形成专属动线；确定后不再调整。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注：陈锦辉提供的座椅排布图仅支持导出 CSD 格式，标注与动线绘制在</w:t>
      </w:r>
      <w:r>
        <w:rPr>
          <w:rFonts w:eastAsia="等线" w:ascii="Arial" w:cs="Arial" w:hAnsi="Arial"/>
          <w:b w:val="true"/>
          <w:sz w:val="22"/>
        </w:rPr>
        <w:t>现场筹备阶段</w:t>
      </w:r>
      <w:r>
        <w:rPr>
          <w:rFonts w:eastAsia="等线" w:ascii="Arial" w:cs="Arial" w:hAnsi="Arial"/>
          <w:b w:val="true"/>
          <w:sz w:val="22"/>
        </w:rPr>
        <w:t>（比赛前一天）</w:t>
      </w:r>
      <w:r>
        <w:rPr>
          <w:rFonts w:eastAsia="等线" w:ascii="Arial" w:cs="Arial" w:hAnsi="Arial"/>
          <w:sz w:val="22"/>
        </w:rPr>
        <w:t>完成。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评审地图</w:t>
      </w:r>
      <w:r>
        <w:rPr>
          <w:rFonts w:eastAsia="等线" w:ascii="Arial" w:cs="Arial" w:hAnsi="Arial"/>
          <w:sz w:val="22"/>
        </w:rPr>
        <w:t>：为每位评审发放</w:t>
      </w:r>
      <w:r>
        <w:rPr>
          <w:rFonts w:eastAsia="等线" w:ascii="Arial" w:cs="Arial" w:hAnsi="Arial"/>
          <w:b w:val="true"/>
          <w:sz w:val="22"/>
        </w:rPr>
        <w:t>专属动线地图</w:t>
      </w:r>
      <w:r>
        <w:rPr>
          <w:rFonts w:eastAsia="等线" w:ascii="Arial" w:cs="Arial" w:hAnsi="Arial"/>
          <w:sz w:val="22"/>
        </w:rPr>
        <w:t>，引导评审按固定路径完成对应赛道的作品评审。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否决项</w:t>
      </w:r>
      <w:r>
        <w:rPr>
          <w:rFonts w:eastAsia="等线" w:ascii="Arial" w:cs="Arial" w:hAnsi="Arial"/>
          <w:sz w:val="22"/>
        </w:rPr>
        <w:t>：AI 路径规划方案与现场实际情况不符、无法适配动态调整需求，</w:t>
      </w:r>
      <w:r>
        <w:rPr>
          <w:rFonts w:eastAsia="等线" w:ascii="Arial" w:cs="Arial" w:hAnsi="Arial"/>
          <w:b w:val="true"/>
          <w:sz w:val="22"/>
        </w:rPr>
        <w:t>不采用</w:t>
      </w:r>
      <w:r>
        <w:rPr>
          <w:rFonts w:eastAsia="等线" w:ascii="Arial" w:cs="Arial" w:hAnsi="Arial"/>
          <w:sz w:val="22"/>
        </w:rPr>
        <w:t>（已定案）。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三、特殊分区安排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15"/>
        <w:gridCol w:w="6165"/>
      </w:tblGrid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安排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OPC 区（前期）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选手按 </w:t>
            </w:r>
            <w:r>
              <w:rPr>
                <w:rFonts w:eastAsia="等线" w:ascii="Arial" w:cs="Arial" w:hAnsi="Arial"/>
                <w:b w:val="true"/>
                <w:sz w:val="22"/>
              </w:rPr>
              <w:t>4 人一桌</w:t>
            </w:r>
            <w:r>
              <w:rPr>
                <w:rFonts w:eastAsia="等线" w:ascii="Arial" w:cs="Arial" w:hAnsi="Arial"/>
                <w:sz w:val="22"/>
              </w:rPr>
              <w:t>集中就坐，无需提前拆分座位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OPC 区（评审期）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进入路演评审环节时调整为</w:t>
            </w:r>
            <w:r>
              <w:rPr>
                <w:rFonts w:eastAsia="等线" w:ascii="Arial" w:cs="Arial" w:hAnsi="Arial"/>
                <w:b w:val="true"/>
                <w:sz w:val="22"/>
              </w:rPr>
              <w:t>单人单桌</w:t>
            </w:r>
            <w:r>
              <w:rPr>
                <w:rFonts w:eastAsia="等线" w:ascii="Arial" w:cs="Arial" w:hAnsi="Arial"/>
                <w:sz w:val="22"/>
              </w:rPr>
              <w:t>，转移至</w:t>
            </w:r>
            <w:r>
              <w:rPr>
                <w:rFonts w:eastAsia="等线" w:ascii="Arial" w:cs="Arial" w:hAnsi="Arial"/>
                <w:b w:val="true"/>
                <w:sz w:val="22"/>
              </w:rPr>
              <w:t>用餐活动区域</w:t>
            </w:r>
            <w:r>
              <w:rPr>
                <w:rFonts w:eastAsia="等线" w:ascii="Arial" w:cs="Arial" w:hAnsi="Arial"/>
                <w:sz w:val="22"/>
              </w:rPr>
              <w:t>就坐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Solo 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 </w:t>
            </w:r>
            <w:r>
              <w:rPr>
                <w:rFonts w:eastAsia="等线" w:ascii="Arial" w:cs="Arial" w:hAnsi="Arial"/>
                <w:b w:val="true"/>
                <w:sz w:val="22"/>
              </w:rPr>
              <w:t>i 人区域</w:t>
            </w:r>
            <w:r>
              <w:rPr>
                <w:rFonts w:eastAsia="等线" w:ascii="Arial" w:cs="Arial" w:hAnsi="Arial"/>
                <w:sz w:val="22"/>
              </w:rPr>
              <w:t>旁设置独立 Solo 区，满足单人参赛选手的独立评审空间</w:t>
            </w:r>
          </w:p>
        </w:tc>
      </w:tr>
      <w:tr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翻场</w:t>
            </w:r>
          </w:p>
        </w:tc>
        <w:tc>
          <w:tcPr>
            <w:tcW w:w="6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OPC 区翻场由专项工作人员负责（会上定：为周影桥配备专项工作人员，负责动线标注、翻场协调）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四、评审分组与评分规则</w:t>
      </w:r>
      <w:bookmarkEnd w:id="12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基础分组</w:t>
      </w:r>
      <w:r>
        <w:rPr>
          <w:rFonts w:eastAsia="等线" w:ascii="Arial" w:cs="Arial" w:hAnsi="Arial"/>
          <w:sz w:val="22"/>
        </w:rPr>
        <w:t xml:space="preserve">：30 名评委统一划分为 </w:t>
      </w:r>
      <w:r>
        <w:rPr>
          <w:rFonts w:eastAsia="等线" w:ascii="Arial" w:cs="Arial" w:hAnsi="Arial"/>
          <w:b w:val="true"/>
          <w:sz w:val="22"/>
        </w:rPr>
        <w:t>10 组</w:t>
      </w:r>
      <w:r>
        <w:rPr>
          <w:rFonts w:eastAsia="等线" w:ascii="Arial" w:cs="Arial" w:hAnsi="Arial"/>
          <w:sz w:val="22"/>
        </w:rPr>
        <w:t>，每组固定负责</w:t>
      </w:r>
      <w:r>
        <w:rPr>
          <w:rFonts w:eastAsia="等线" w:ascii="Arial" w:cs="Arial" w:hAnsi="Arial"/>
          <w:b w:val="true"/>
          <w:sz w:val="22"/>
        </w:rPr>
        <w:t>单一赛道</w:t>
      </w:r>
      <w:r>
        <w:rPr>
          <w:rFonts w:eastAsia="等线" w:ascii="Arial" w:cs="Arial" w:hAnsi="Arial"/>
          <w:sz w:val="22"/>
        </w:rPr>
        <w:t xml:space="preserve">，每组对应评审作品 </w:t>
      </w:r>
      <w:r>
        <w:rPr>
          <w:rFonts w:eastAsia="等线" w:ascii="Arial" w:cs="Arial" w:hAnsi="Arial"/>
          <w:b w:val="true"/>
          <w:sz w:val="22"/>
        </w:rPr>
        <w:t>10–15 个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四赛道映射：每组绑定 SHELL FORGE / GHOST NETWORK / SECTION 9 / NEW LIFE 之一；组数按各赛道作品量分配（各赛道 2–3 组起步），最终以录取名单确定后的作品数为准。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超载机制</w:t>
      </w:r>
      <w:r>
        <w:rPr>
          <w:rFonts w:eastAsia="等线" w:ascii="Arial" w:cs="Arial" w:hAnsi="Arial"/>
          <w:sz w:val="22"/>
        </w:rPr>
        <w:t>：若某一赛道选手数量超出承载上限，该赛道评审组</w:t>
      </w:r>
      <w:r>
        <w:rPr>
          <w:rFonts w:eastAsia="等线" w:ascii="Arial" w:cs="Arial" w:hAnsi="Arial"/>
          <w:b w:val="true"/>
          <w:sz w:val="22"/>
        </w:rPr>
        <w:t>拆分为 2–3 个小组</w:t>
      </w:r>
      <w:r>
        <w:rPr>
          <w:rFonts w:eastAsia="等线" w:ascii="Arial" w:cs="Arial" w:hAnsi="Arial"/>
          <w:sz w:val="22"/>
        </w:rPr>
        <w:t>分别沿动线评审。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评分覆盖</w:t>
      </w:r>
      <w:r>
        <w:rPr>
          <w:rFonts w:eastAsia="等线" w:ascii="Arial" w:cs="Arial" w:hAnsi="Arial"/>
          <w:sz w:val="22"/>
        </w:rPr>
        <w:t xml:space="preserve">：每个参赛作品需至少由 </w:t>
      </w:r>
      <w:r>
        <w:rPr>
          <w:rFonts w:eastAsia="等线" w:ascii="Arial" w:cs="Arial" w:hAnsi="Arial"/>
          <w:b w:val="true"/>
          <w:sz w:val="22"/>
        </w:rPr>
        <w:t>3 名不同评委</w:t>
      </w:r>
      <w:r>
        <w:rPr>
          <w:rFonts w:eastAsia="等线" w:ascii="Arial" w:cs="Arial" w:hAnsi="Arial"/>
          <w:sz w:val="22"/>
        </w:rPr>
        <w:t>完成独立打分。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异常预案</w:t>
      </w:r>
      <w:r>
        <w:rPr>
          <w:rFonts w:eastAsia="等线" w:ascii="Arial" w:cs="Arial" w:hAnsi="Arial"/>
          <w:sz w:val="22"/>
        </w:rPr>
        <w:t>：同分、作品数量异常等情况的预案由赛事策划与赛道团队输出（9/9 ToDo 遗留项，随本方案补齐）。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</w:t>
      </w:r>
      <w:r>
        <w:rPr>
          <w:rFonts w:eastAsia="等线" w:ascii="Arial" w:cs="Arial" w:hAnsi="Arial"/>
          <w:b w:val="true"/>
          <w:sz w:val="32"/>
        </w:rPr>
        <w:t>人手配置</w:t>
      </w:r>
      <w:r>
        <w:rPr>
          <w:rFonts w:eastAsia="等线" w:ascii="Arial" w:cs="Arial" w:hAnsi="Arial"/>
          <w:b w:val="true"/>
          <w:sz w:val="32"/>
        </w:rPr>
        <w:t>与</w:t>
      </w:r>
      <w:r>
        <w:rPr>
          <w:rFonts w:eastAsia="等线" w:ascii="Arial" w:cs="Arial" w:hAnsi="Arial"/>
          <w:b w:val="true"/>
          <w:sz w:val="32"/>
        </w:rPr>
        <w:t>评审日程</w:t>
      </w:r>
      <w:r>
        <w:rPr>
          <w:rFonts w:eastAsia="等线" w:ascii="Arial" w:cs="Arial" w:hAnsi="Arial"/>
          <w:b w:val="true"/>
          <w:sz w:val="32"/>
        </w:rPr>
        <w:t>（双日会派单：评审接待定人手）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人手配置：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2400"/>
        <w:gridCol w:w="36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人数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嘉宾组接待负责人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3人李世荣、谢中翊、黄浚铭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一对一对接嘉宾，组织管理评审志愿者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评审组对接员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人（每组 1 名）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告知评审规则、陪同熟悉动线、全程陪同评审、回收打分表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动线标注 / 翻场专员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CSD 排布图赛道标色、OPC 翻场协调（专项配给周影桥）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机动 / 应急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评委迟到补位、超载赛道临时拆组、打分异常处理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接待签到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评委签到、发放动线地图与物料包、引导至集合区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接待预备人员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若有一方人手不足，负责跟进、帮助人员接待和签到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合计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约 </w:t>
            </w:r>
            <w:r>
              <w:rPr>
                <w:rFonts w:eastAsia="等线" w:ascii="Arial" w:cs="Arial" w:hAnsi="Arial"/>
                <w:b w:val="true"/>
                <w:sz w:val="22"/>
              </w:rPr>
              <w:t>21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人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志愿者缺口向陈锦辉报数（"不够人跟我说"）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评审日程：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2925"/>
        <w:gridCol w:w="378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12:00–13:00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评委集合签到+规则与动线讲解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前往评委签到处完成身份核验，领取动线地图、个人物料包，由对接员引导陪同做就位准备。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13:00–16:00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初赛游园评审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 位评委、四大赛道交叉评审组；每项目至少 3 位评委独立打分；单人覆盖 30–50 项目；后续将通过 AI 运行场地模型测算最优评审方案。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16:00–17:00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打分材料回收+后台核分阶段+成绩公示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(路演介绍)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初赛成绩 → </w:t>
            </w:r>
            <w:r>
              <w:rPr>
                <w:rFonts w:eastAsia="等线" w:ascii="Arial" w:cs="Arial" w:hAnsi="Arial"/>
                <w:b w:val="true"/>
                <w:sz w:val="22"/>
              </w:rPr>
              <w:t>四大赛道各 Top 2（共 8 队）晋级</w:t>
            </w:r>
            <w:r>
              <w:rPr>
                <w:rFonts w:eastAsia="等线" w:ascii="Arial" w:cs="Arial" w:hAnsi="Arial"/>
                <w:sz w:val="22"/>
              </w:rPr>
              <w:t>；时间前置</w:t>
            </w:r>
            <w:r>
              <w:rPr>
                <w:rFonts w:eastAsia="等线" w:ascii="Arial" w:cs="Arial" w:hAnsi="Arial"/>
                <w:sz w:val="22"/>
              </w:rPr>
              <w:t>（核分工作由赛事后台团队独立完成，评委无需操作；期间可休息，等候复赛路演环节通知。）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16:40–17:00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复赛准备 + 设备测试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路演顺序抽签、设备测试（快速走台）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17:00–18:00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复赛路演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8 支队伍 × 单队 7 分钟</w:t>
            </w:r>
            <w:r>
              <w:rPr>
                <w:rFonts w:eastAsia="等线" w:ascii="Arial" w:cs="Arial" w:hAnsi="Arial"/>
                <w:sz w:val="22"/>
              </w:rPr>
              <w:t>（超时≤30 秒，全程倒计时提示）；线上系统实时打分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18:00–18:45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复赛成绩复核 + 跨赛道终审</w:t>
            </w: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总榜大奖由跨赛道终审产生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18:45–19:30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颁奖典礼 + 合影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10 奖定案</w:t>
            </w:r>
            <w:r>
              <w:rPr>
                <w:rFonts w:eastAsia="等线" w:ascii="Arial" w:cs="Arial" w:hAnsi="Arial"/>
                <w:sz w:val="22"/>
              </w:rPr>
              <w:t>：全场大奖/四大赛道奖×4/观众选择奖/评审选择奖/小红书科技选择奖/TBU 奖/Token Maxxxing 奖；</w:t>
            </w:r>
            <w:r>
              <w:rPr>
                <w:rFonts w:eastAsia="等线" w:ascii="Arial" w:cs="Arial" w:hAnsi="Arial"/>
                <w:b w:val="true"/>
                <w:sz w:val="22"/>
              </w:rPr>
              <w:t>8 支晋级队伍信息预录入颁奖 PPT，颁奖前仅调整获奖名单</w:t>
            </w:r>
            <w:r>
              <w:rPr>
                <w:rFonts w:eastAsia="等线" w:ascii="Arial" w:cs="Arial" w:hAnsi="Arial"/>
                <w:sz w:val="22"/>
              </w:rPr>
              <w:t>（9/10 会议定案）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评委小提示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 请妥善保管随身物品及物料包；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 优先找本组「评审组对接员」解决问题；对接员无法处理，会代为联系机动应急专员、嘉宾组接待负责人，无需评委自行寻找其他岗位工作人员；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 如中途需要短暂离场休息，请告知你的评审组对接员，报备离场时间。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 评审中遇到选手演示故障、场地噪音干扰、项目找不到、对打分规则有疑问，直接告知随行对接员处理。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color w:val="d83931"/>
          <w:sz w:val="22"/>
        </w:rPr>
        <w:t>志愿者报名时间确定：9.13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六、待确认项</w:t>
      </w:r>
      <w:bookmarkEnd w:id="1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单作品评审时长、单小时需完成的评审作品数量——</w:t>
      </w:r>
      <w:r>
        <w:rPr>
          <w:rFonts w:eastAsia="等线" w:ascii="Arial" w:cs="Arial" w:hAnsi="Arial"/>
          <w:b w:val="true"/>
          <w:sz w:val="22"/>
        </w:rPr>
        <w:t>待评审名单正式确认后细化落地</w:t>
      </w:r>
      <w:r>
        <w:rPr>
          <w:rFonts w:eastAsia="等线" w:ascii="Arial" w:cs="Arial" w:hAnsi="Arial"/>
          <w:sz w:val="22"/>
        </w:rPr>
        <w:t>（会上定）。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组在各赛道的具体分配数——待各赛道录取人数明确后定。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评审规则细节与用户505944（商务招商侧）同步口径——双日会派单要求。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CSD 排布图的标注工具与标注人——现场筹备阶段定。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七、归档</w:t>
      </w:r>
      <w:bookmarkEnd w:id="1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本方案经陈锦辉确认后纳入《黑客松策划案》正式章节。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同步补充 Agenda 未同步内容（Agenda v1.4 已于 9/10-9/12 完成同步）。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8619">
    <w:lvl>
      <w:start w:val="1"/>
      <w:numFmt w:val="decimal"/>
      <w:suff w:val="tab"/>
      <w:lvlText w:val="%1."/>
      <w:rPr>
        <w:color w:val="3370ff"/>
      </w:rPr>
    </w:lvl>
  </w:abstractNum>
  <w:abstractNum w:abstractNumId="548620">
    <w:lvl>
      <w:start w:val="2"/>
      <w:numFmt w:val="decimal"/>
      <w:suff w:val="tab"/>
      <w:lvlText w:val="%1."/>
      <w:rPr>
        <w:color w:val="3370ff"/>
      </w:rPr>
    </w:lvl>
  </w:abstractNum>
  <w:abstractNum w:abstractNumId="548621">
    <w:lvl>
      <w:start w:val="3"/>
      <w:numFmt w:val="decimal"/>
      <w:suff w:val="tab"/>
      <w:lvlText w:val="%1."/>
      <w:rPr>
        <w:color w:val="3370ff"/>
      </w:rPr>
    </w:lvl>
  </w:abstractNum>
  <w:abstractNum w:abstractNumId="548622">
    <w:lvl>
      <w:start w:val="4"/>
      <w:numFmt w:val="decimal"/>
      <w:suff w:val="tab"/>
      <w:lvlText w:val="%1."/>
      <w:rPr>
        <w:color w:val="3370ff"/>
      </w:rPr>
    </w:lvl>
  </w:abstractNum>
  <w:abstractNum w:abstractNumId="548623">
    <w:lvl>
      <w:start w:val="1"/>
      <w:numFmt w:val="decimal"/>
      <w:suff w:val="tab"/>
      <w:lvlText w:val="%1."/>
      <w:rPr>
        <w:color w:val="3370ff"/>
      </w:rPr>
    </w:lvl>
  </w:abstractNum>
  <w:abstractNum w:abstractNumId="548624">
    <w:lvl>
      <w:start w:val="2"/>
      <w:numFmt w:val="decimal"/>
      <w:suff w:val="tab"/>
      <w:lvlText w:val="%1."/>
      <w:rPr>
        <w:color w:val="3370ff"/>
      </w:rPr>
    </w:lvl>
  </w:abstractNum>
  <w:abstractNum w:abstractNumId="548625">
    <w:lvl>
      <w:numFmt w:val="bullet"/>
      <w:suff w:val="tab"/>
      <w:lvlText w:val="￮"/>
      <w:rPr>
        <w:color w:val="3370ff"/>
      </w:rPr>
    </w:lvl>
  </w:abstractNum>
  <w:abstractNum w:abstractNumId="548626">
    <w:lvl>
      <w:start w:val="3"/>
      <w:numFmt w:val="decimal"/>
      <w:suff w:val="tab"/>
      <w:lvlText w:val="%1."/>
      <w:rPr>
        <w:color w:val="3370ff"/>
      </w:rPr>
    </w:lvl>
  </w:abstractNum>
  <w:abstractNum w:abstractNumId="548627">
    <w:lvl>
      <w:start w:val="4"/>
      <w:numFmt w:val="decimal"/>
      <w:suff w:val="tab"/>
      <w:lvlText w:val="%1."/>
      <w:rPr>
        <w:color w:val="3370ff"/>
      </w:rPr>
    </w:lvl>
  </w:abstractNum>
  <w:abstractNum w:abstractNumId="548628">
    <w:lvl>
      <w:numFmt w:val="bullet"/>
      <w:suff w:val="tab"/>
      <w:lvlText w:val="•"/>
      <w:rPr>
        <w:color w:val="3370ff"/>
      </w:rPr>
    </w:lvl>
  </w:abstractNum>
  <w:abstractNum w:abstractNumId="548629">
    <w:lvl>
      <w:numFmt w:val="bullet"/>
      <w:suff w:val="tab"/>
      <w:lvlText w:val="￮"/>
      <w:rPr>
        <w:color w:val="3370ff"/>
      </w:rPr>
    </w:lvl>
  </w:abstractNum>
  <w:abstractNum w:abstractNumId="548630">
    <w:lvl>
      <w:numFmt w:val="bullet"/>
      <w:suff w:val="tab"/>
      <w:lvlText w:val="•"/>
      <w:rPr>
        <w:color w:val="3370ff"/>
      </w:rPr>
    </w:lvl>
  </w:abstractNum>
  <w:abstractNum w:abstractNumId="548631">
    <w:lvl>
      <w:numFmt w:val="bullet"/>
      <w:suff w:val="tab"/>
      <w:lvlText w:val="•"/>
      <w:rPr>
        <w:color w:val="3370ff"/>
      </w:rPr>
    </w:lvl>
  </w:abstractNum>
  <w:abstractNum w:abstractNumId="548632">
    <w:lvl>
      <w:numFmt w:val="bullet"/>
      <w:suff w:val="tab"/>
      <w:lvlText w:val="•"/>
      <w:rPr>
        <w:color w:val="3370ff"/>
      </w:rPr>
    </w:lvl>
  </w:abstractNum>
  <w:abstractNum w:abstractNumId="548633">
    <w:lvl>
      <w:start w:val="1"/>
      <w:numFmt w:val="decimal"/>
      <w:suff w:val="tab"/>
      <w:lvlText w:val="%1."/>
      <w:rPr>
        <w:color w:val="3370ff"/>
      </w:rPr>
    </w:lvl>
  </w:abstractNum>
  <w:abstractNum w:abstractNumId="548634">
    <w:lvl>
      <w:start w:val="2"/>
      <w:numFmt w:val="decimal"/>
      <w:suff w:val="tab"/>
      <w:lvlText w:val="%1."/>
      <w:rPr>
        <w:color w:val="3370ff"/>
      </w:rPr>
    </w:lvl>
  </w:abstractNum>
  <w:abstractNum w:abstractNumId="548635">
    <w:lvl>
      <w:start w:val="3"/>
      <w:numFmt w:val="decimal"/>
      <w:suff w:val="tab"/>
      <w:lvlText w:val="%1."/>
      <w:rPr>
        <w:color w:val="3370ff"/>
      </w:rPr>
    </w:lvl>
  </w:abstractNum>
  <w:abstractNum w:abstractNumId="548636">
    <w:lvl>
      <w:start w:val="4"/>
      <w:numFmt w:val="decimal"/>
      <w:suff w:val="tab"/>
      <w:lvlText w:val="%1."/>
      <w:rPr>
        <w:color w:val="3370ff"/>
      </w:rPr>
    </w:lvl>
  </w:abstractNum>
  <w:abstractNum w:abstractNumId="548637">
    <w:lvl>
      <w:numFmt w:val="bullet"/>
      <w:suff w:val="tab"/>
      <w:lvlText w:val="•"/>
      <w:rPr>
        <w:color w:val="3370ff"/>
      </w:rPr>
    </w:lvl>
  </w:abstractNum>
  <w:abstractNum w:abstractNumId="548638">
    <w:lvl>
      <w:numFmt w:val="bullet"/>
      <w:suff w:val="tab"/>
      <w:lvlText w:val="•"/>
      <w:rPr>
        <w:color w:val="3370ff"/>
      </w:rPr>
    </w:lvl>
  </w:abstractNum>
  <w:num w:numId="1">
    <w:abstractNumId w:val="548619"/>
  </w:num>
  <w:num w:numId="2">
    <w:abstractNumId w:val="548620"/>
  </w:num>
  <w:num w:numId="3">
    <w:abstractNumId w:val="548621"/>
  </w:num>
  <w:num w:numId="4">
    <w:abstractNumId w:val="548622"/>
  </w:num>
  <w:num w:numId="5">
    <w:abstractNumId w:val="548623"/>
  </w:num>
  <w:num w:numId="6">
    <w:abstractNumId w:val="548624"/>
  </w:num>
  <w:num w:numId="7">
    <w:abstractNumId w:val="548625"/>
  </w:num>
  <w:num w:numId="8">
    <w:abstractNumId w:val="548626"/>
  </w:num>
  <w:num w:numId="9">
    <w:abstractNumId w:val="548627"/>
  </w:num>
  <w:num w:numId="10">
    <w:abstractNumId w:val="548628"/>
  </w:num>
  <w:num w:numId="11">
    <w:abstractNumId w:val="548629"/>
  </w:num>
  <w:num w:numId="12">
    <w:abstractNumId w:val="548630"/>
  </w:num>
  <w:num w:numId="13">
    <w:abstractNumId w:val="548631"/>
  </w:num>
  <w:num w:numId="14">
    <w:abstractNumId w:val="548632"/>
  </w:num>
  <w:num w:numId="15">
    <w:abstractNumId w:val="548633"/>
  </w:num>
  <w:num w:numId="16">
    <w:abstractNumId w:val="548634"/>
  </w:num>
  <w:num w:numId="17">
    <w:abstractNumId w:val="548635"/>
  </w:num>
  <w:num w:numId="18">
    <w:abstractNumId w:val="548636"/>
  </w:num>
  <w:num w:numId="19">
    <w:abstractNumId w:val="548637"/>
  </w:num>
  <w:num w:numId="20">
    <w:abstractNumId w:val="5486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2026-10-13T17:18:51Z</dcterms:created>
  <dc:creator>Apache POI</dc:creator>
</cp:coreProperties>
</file>