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银行 AI Agent 技术文档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系统架构 核心算法与安全设计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73E36"/>
          <w:sz w:val="28"/>
        </w:rPr>
        <w:t>澄心银行 AI Agent Web MVP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 1.0    2026 年 9 月</w:t>
      </w:r>
    </w:p>
    <w:p>
      <w:r>
        <w:br w:type="page"/>
      </w:r>
    </w:p>
    <w:p>
      <w:pPr>
        <w:pStyle w:val="Heading1"/>
      </w:pPr>
      <w:r>
        <w:t>1 项目概述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本项目实现一套面向个人用户的银行 AI Agent 演示系统。系统提供自然语言转账、定时转账、AA 收款、账单分析、理财产品比较、卡片管理、订阅管理和生日计划。第一版只处理模拟数据，不连接真实银行、证券、征信、日历或商户。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核心结论：</w:t>
      </w:r>
      <w:r>
        <w:rPr>
          <w:rFonts w:ascii="Microsoft YaHei" w:hAnsi="Microsoft YaHei" w:eastAsia="Microsoft YaHei"/>
          <w:b w:val="0"/>
          <w:color w:val="000000"/>
          <w:sz w:val="22"/>
        </w:rPr>
        <w:t>模型负责理解和解释，后端负责资金校验、确认状态、强认证、幂等执行和审计。任何资金动作都不能由模型直接修改账户余额。</w:t>
      </w:r>
    </w:p>
    <w:p>
      <w:pPr>
        <w:pStyle w:val="Heading1"/>
      </w:pPr>
      <w:r>
        <w:t>2 系统架构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584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8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504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Web 前端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Next.js 15 React 19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聊天工作台、确认卡、账单、理财、卡片、订阅和审计页面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 API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NestJS 11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意图路由、参数校验、操作状态机、模拟银行工具接口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模型服务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OpenAI 兼容接口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意图分类和自然语言理解；不可直接执行交易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任务系统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BullMQ Redis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定时转账、续费提醒、生日计划和账单报告任务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数据层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Prisma PostgreSQL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账户、交易、操作、审计事件的数据模型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2"/>
        </w:rPr>
        <w:t>演示模式默认使用进程内种子数据，便于评审环境直接运行。项目已经提供 PostgreSQL Schema、Redis worker 和 Docker Compose，后续可把 DemoStore 替换为持久化仓储。</w:t>
      </w:r>
    </w:p>
    <w:p>
      <w:pPr>
        <w:pStyle w:val="Heading1"/>
      </w:pPr>
      <w:r>
        <w:t>3 Agent 处理流程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296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56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752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输出与约束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理解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用户自然语言或语音转写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识别转账、账单、理财、卡片、订阅或自动化意图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准备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结构化参数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校验收款人、余额、限额和产品适配，生成待确认操作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用户核对确认卡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状态改为等待强认证，不扣款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位演示认证码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后端再次校验并按幂等键执行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操作结果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记录准备、确认、执行或拒绝事件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2"/>
        </w:rPr>
        <w:t>写操作统一携带 operationId、idempotencyKey、riskLevel、status、expiresAt 和业务详情。确认卡十分钟后过期，重复执行同一幂等键不会重复扣款。</w:t>
      </w:r>
    </w:p>
    <w:p>
      <w:pPr>
        <w:pStyle w:val="Heading1"/>
      </w:pPr>
      <w:r>
        <w:t>4 核心功能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智能转账：支持姓名、已绑定手机号、语音转写和定时执行；重名联系人必须消歧。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AA 收款：识别总金额、参与人和是否排除发起人，生成模拟收款请求。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账单分析：按商户与描述分类，展示分类占比，并由确定性规则标记异常交易。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理财操作：先检查风险等级，再展示适配产品；申购必须经过确认和强认证。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卡片管理：展示脱敏卡号和交易限制；挂失执行后更新卡片状态。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订阅管理：识别周期扣款；只有标记为 direct_cancel 的商户才能发起银行侧取消。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跨场景联动：识别生日后先准备资金预留，鲜花和蛋糕订单需要再次单独确认。</w:t>
      </w:r>
    </w:p>
    <w:p>
      <w:pPr>
        <w:pStyle w:val="Heading1"/>
      </w:pPr>
      <w:r>
        <w:t>5 核心算法说明</w:t>
      </w:r>
    </w:p>
    <w:p>
      <w:pPr>
        <w:pStyle w:val="Heading2"/>
      </w:pPr>
      <w:r>
        <w:t>5.1 意图识别与回退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配置 DeepSeek API Key 时，系统调用 deepseek-flash 输出结构化意图。请求关闭思考模式并要求 JSON 输出。模型调用失败或未配置 Key 时，本地安全解析器根据关键词继续提供演示功能。模型返回的意图仅用于路由，后端仍重新校验业务参数。</w:t>
      </w:r>
    </w:p>
    <w:p>
      <w:pPr>
        <w:pStyle w:val="Heading2"/>
      </w:pPr>
      <w:r>
        <w:t>5.2 金额与收款人解析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金额解析优先识别“转 500 元”“预留 1000 元”等与动作相邻的金额，避免把 11 位手机号误判为金额。收款人先按手机号精确匹配，再按姓名匹配；匹配到多位同名联系人时停止流程并要求用户指定银行尾号。</w:t>
      </w:r>
    </w:p>
    <w:p>
      <w:pPr>
        <w:pStyle w:val="Heading2"/>
      </w:pPr>
      <w:r>
        <w:t>5.3 异常交易识别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演示规则包括凌晨大额、非常用城市、金额显著高于个人基线、短时重复和陌生商户。规则引擎负责生成信号，AI 只解释信号，不直接判断欺诈，也不自动冻结卡片。</w:t>
      </w:r>
    </w:p>
    <w:p>
      <w:pPr>
        <w:pStyle w:val="Heading2"/>
      </w:pPr>
      <w:r>
        <w:t>5.4 幂等执行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服务端在执行前查询 idempotencyKey。已执行的键直接返回原操作结果，不再次修改余额。执行前同时检查状态必须为 AWAITING_AUTH、确认未过期、认证码正确且可用余额足够。</w:t>
      </w:r>
    </w:p>
    <w:p>
      <w:pPr>
        <w:pStyle w:val="Heading1"/>
      </w:pPr>
      <w:r>
        <w:t>6 提示词设计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提示词包位于 packages/prompts/src/index.ts，版本号为 bank-agent-cn-1.0.0。它包含总控、意图路由、转账提取、账单分类、异常解释、报告生成、理财适当性、卡片与订阅、跨场景规划、安全审查十类提示词。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872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7632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最小权限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模型只能建议工具调用，不能直接修改余额或状态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数据可信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金额、余额和产品条款只引用后端工具结果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隐私保护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卡号、身份证号、密码和验证码在模型调用前拦截或移除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防提示注入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商户名、备注和工具结果只作为数据，不作为系统指令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风险披露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禁止保本、稳赚和确定收益表述</w:t>
            </w:r>
          </w:p>
        </w:tc>
      </w:tr>
    </w:tbl>
    <w:p/>
    <w:p>
      <w:pPr>
        <w:pStyle w:val="Heading1"/>
      </w:pPr>
      <w:r>
        <w:t>7 安全设计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资金、高风险卡片操作和订阅取消使用分级确认。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完整卡号、身份证号、密码和验证码禁止进入模型上下文。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DeepSeek user_id 使用不可逆内部标识，不包含手机号或姓名。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确认卡显示付款账户尾号、收款人、脱敏手机号、金额、手续费和执行时间。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审计日志记录操作编号、动作、结果和脱敏详情。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模型服务不可用时，账户查询和已创建任务不依赖模型继续运行。</w:t>
      </w:r>
    </w:p>
    <w:p>
      <w:pPr>
        <w:pStyle w:val="Heading1"/>
      </w:pPr>
      <w:r>
        <w:t>8 部署与运行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2304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200"/>
            <w:shd w:fill="173E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命令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准备配置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Copy-Item .env.example .env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安装依赖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npm install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启动演示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npm run dev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启动数据库与 Redis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docker compose up -d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 Prisma Client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npm run db:generate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 worker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4F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npm run dev:worker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2"/>
        </w:rPr>
        <w:t>浏览器访问 http://localhost:3000。演示强认证码为 123456。若需启用 DeepSeek，在根目录 .env 中填写 DEEPSEEK_API_KEY。</w:t>
      </w:r>
    </w:p>
    <w:p>
      <w:pPr>
        <w:pStyle w:val="Heading1"/>
      </w:pPr>
      <w:r>
        <w:t>9 测试结果与限制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6 个 API 单元测试通过，覆盖重名消歧、确认前不扣款、认证执行、幂等、提示注入、挂失和订阅取消边界。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API、Web 和 worker 通过 TypeScript 类型检查与生产构建。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HTTP 冒烟测试确认转账执行前后余额差额为 500 元，并生成准备、确认、执行三条审计事件。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当前不接真实银行接口，不具备生产级 KYC、短信、生物识别、监管报送或真实商户履约能力。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银行 AI Agent 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