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 w:line="48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星空与萤火：基于SSVEP空间注意力调制的沉浸式注意力训练系统</w:t>
      </w:r>
    </w:p>
    <w:p>
      <w:pPr>
        <w:spacing w:after="200" w:before="360" w:line="3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一、背景与引入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注意力缺陷已成为影响公共健康的重大挑战。全球约5–7%的儿童和2.5–4%的成年人受注意力缺陷多动障碍（ADHD）困扰</w:t>
      </w:r>
      <w:r>
        <w:rPr>
          <w:rFonts w:ascii="宋体" w:cs="宋体" w:eastAsia="宋体" w:hAnsi="宋体"/>
          <w:sz w:val="21"/>
          <w:szCs w:val="21"/>
          <w:vertAlign w:val="superscript"/>
        </w:rPr>
        <w:t xml:space="preserve">[1]</w:t>
      </w:r>
      <w:r>
        <w:rPr>
          <w:rFonts w:ascii="宋体" w:cs="宋体" w:eastAsia="宋体" w:hAnsi="宋体"/>
          <w:sz w:val="21"/>
          <w:szCs w:val="21"/>
        </w:rPr>
        <w:t xml:space="preserve">，而更为广泛的亚临床注意力涣散问题在信息过载时代日益普遍。传统注意力训练手段包括药物治疗（如哌甲酯）和行为认知疗法（CBT），但前者存在副作用和依赖风险，后者疗程长、依从性差。基于脑电（EEG）的神经反馈技术为注意力训练提供了一条非药物的闭环干预路径——通过实时反馈脑电信号，引导用户自主调节大脑活动模式</w:t>
      </w:r>
      <w:r>
        <w:rPr>
          <w:rFonts w:ascii="宋体" w:cs="宋体" w:eastAsia="宋体" w:hAnsi="宋体"/>
          <w:sz w:val="21"/>
          <w:szCs w:val="21"/>
          <w:vertAlign w:val="superscript"/>
        </w:rPr>
        <w:t xml:space="preserve">[2]</w:t>
      </w:r>
      <w:r>
        <w:rPr>
          <w:rFonts w:ascii="宋体" w:cs="宋体" w:eastAsia="宋体" w:hAnsi="宋体"/>
          <w:sz w:val="21"/>
          <w:szCs w:val="21"/>
        </w:rPr>
        <w:t xml:space="preserve">。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现有EEG注意力训练产品在三个层面存在瓶颈。信号范式方面，主流方案以额叶（PFC）β波（13–30 Hz）功率作为注意力指标</w:t>
      </w:r>
      <w:r>
        <w:rPr>
          <w:rFonts w:ascii="宋体" w:cs="宋体" w:eastAsia="宋体" w:hAnsi="宋体"/>
          <w:sz w:val="21"/>
          <w:szCs w:val="21"/>
          <w:vertAlign w:val="superscript"/>
        </w:rPr>
        <w:t xml:space="preserve">[3]</w:t>
      </w:r>
      <w:r>
        <w:rPr>
          <w:rFonts w:ascii="宋体" w:cs="宋体" w:eastAsia="宋体" w:hAnsi="宋体"/>
          <w:sz w:val="21"/>
          <w:szCs w:val="21"/>
        </w:rPr>
        <w:t xml:space="preserve">，但该信号易受肌电（EMG）和眼动伪迹干扰，且PFC电极需精确定位，佩戴体验差。反馈形式方面，现有产品普遍采用进度条、数值仪表盘等“游戏化”HUD元素，将医疗训练伪装为低龄游戏，既缺乏审美品质，也难以维持成年用户的长期使用动机</w:t>
      </w:r>
      <w:r>
        <w:rPr>
          <w:rFonts w:ascii="宋体" w:cs="宋体" w:eastAsia="宋体" w:hAnsi="宋体"/>
          <w:sz w:val="21"/>
          <w:szCs w:val="21"/>
          <w:vertAlign w:val="superscript"/>
        </w:rPr>
        <w:t xml:space="preserve">[4]</w:t>
      </w:r>
      <w:r>
        <w:rPr>
          <w:rFonts w:ascii="宋体" w:cs="宋体" w:eastAsia="宋体" w:hAnsi="宋体"/>
          <w:sz w:val="21"/>
          <w:szCs w:val="21"/>
        </w:rPr>
        <w:t xml:space="preserve">。近年来的系统综述表明，基于BCI的注意力训练游戏确实能有效降低ADHD症状</w:t>
      </w:r>
      <w:r>
        <w:rPr>
          <w:rFonts w:ascii="宋体" w:cs="宋体" w:eastAsia="宋体" w:hAnsi="宋体"/>
          <w:sz w:val="21"/>
          <w:szCs w:val="21"/>
          <w:vertAlign w:val="superscript"/>
        </w:rPr>
        <w:t xml:space="preserve">[9]</w:t>
      </w:r>
      <w:r>
        <w:rPr>
          <w:rFonts w:ascii="宋体" w:cs="宋体" w:eastAsia="宋体" w:hAnsi="宋体"/>
          <w:sz w:val="21"/>
          <w:szCs w:val="21"/>
        </w:rPr>
        <w:t xml:space="preserve">，但现有系统的反馈形式仍以传统2D界面为主</w:t>
      </w:r>
      <w:r>
        <w:rPr>
          <w:rFonts w:ascii="宋体" w:cs="宋体" w:eastAsia="宋体" w:hAnsi="宋体"/>
          <w:sz w:val="21"/>
          <w:szCs w:val="21"/>
          <w:vertAlign w:val="superscript"/>
        </w:rPr>
        <w:t xml:space="preserve">[16]</w:t>
      </w:r>
      <w:r>
        <w:rPr>
          <w:rFonts w:ascii="宋体" w:cs="宋体" w:eastAsia="宋体" w:hAnsi="宋体"/>
          <w:sz w:val="21"/>
          <w:szCs w:val="21"/>
        </w:rPr>
        <w:t xml:space="preserve">。使用场景方面，多数系统仍局限于医疗机构，缺乏面向家庭场景的便携化、日常化设计。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稳态视觉诱发电位（Steady-State Visual Evoked Potential, SSVEP）为突破上述瓶颈提供了新的技术路径。当用户凝视以特定频率闪烁的视觉刺激时，其枕叶视皮层会产生同频率的稳态脑电响应</w:t>
      </w:r>
      <w:r>
        <w:rPr>
          <w:rFonts w:ascii="宋体" w:cs="宋体" w:eastAsia="宋体" w:hAnsi="宋体"/>
          <w:sz w:val="21"/>
          <w:szCs w:val="21"/>
          <w:vertAlign w:val="superscript"/>
        </w:rPr>
        <w:t xml:space="preserve">[5]</w:t>
      </w:r>
      <w:r>
        <w:rPr>
          <w:rFonts w:ascii="宋体" w:cs="宋体" w:eastAsia="宋体" w:hAnsi="宋体"/>
          <w:sz w:val="21"/>
          <w:szCs w:val="21"/>
        </w:rPr>
        <w:t xml:space="preserve">。与传统PFC β波范式相比，SSVEP信号集中在特定频率成分，可通过频谱分析精确提取</w:t>
      </w:r>
      <w:r>
        <w:rPr>
          <w:rFonts w:ascii="宋体" w:cs="宋体" w:eastAsia="宋体" w:hAnsi="宋体"/>
          <w:sz w:val="21"/>
          <w:szCs w:val="21"/>
          <w:vertAlign w:val="superscript"/>
        </w:rPr>
        <w:t xml:space="preserve">[6]</w:t>
      </w:r>
      <w:r>
        <w:rPr>
          <w:rFonts w:ascii="宋体" w:cs="宋体" w:eastAsia="宋体" w:hAnsi="宋体"/>
          <w:sz w:val="21"/>
          <w:szCs w:val="21"/>
        </w:rPr>
        <w:t xml:space="preserve">，信噪比显著更高；枕叶信号受肌电干扰远小于额叶</w:t>
      </w:r>
      <w:r>
        <w:rPr>
          <w:rFonts w:ascii="宋体" w:cs="宋体" w:eastAsia="宋体" w:hAnsi="宋体"/>
          <w:sz w:val="21"/>
          <w:szCs w:val="21"/>
          <w:vertAlign w:val="superscript"/>
        </w:rPr>
        <w:t xml:space="preserve">[7]</w:t>
      </w:r>
      <w:r>
        <w:rPr>
          <w:rFonts w:ascii="宋体" w:cs="宋体" w:eastAsia="宋体" w:hAnsi="宋体"/>
          <w:sz w:val="21"/>
          <w:szCs w:val="21"/>
        </w:rPr>
        <w:t xml:space="preserve">；更重要的是，SSVEP幅值直接反映用户对特定空间位置的注意聚焦程度</w:t>
      </w:r>
      <w:r>
        <w:rPr>
          <w:rFonts w:ascii="宋体" w:cs="宋体" w:eastAsia="宋体" w:hAnsi="宋体"/>
          <w:sz w:val="21"/>
          <w:szCs w:val="21"/>
          <w:vertAlign w:val="superscript"/>
        </w:rPr>
        <w:t xml:space="preserve">[8]</w:t>
      </w:r>
      <w:r>
        <w:rPr>
          <w:rFonts w:ascii="宋体" w:cs="宋体" w:eastAsia="宋体" w:hAnsi="宋体"/>
          <w:sz w:val="21"/>
          <w:szCs w:val="21"/>
        </w:rPr>
        <w:t xml:space="preserve">，这与“注意力训练”的目标天然契合——我们不再监测大脑整体激活状态，而是精确评估注意力的空间聚焦位置。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基于上述分析，本项目提出“星空与萤火”——一套基于SSVEP空间注意力调制的沉浸式注意力训练系统。该系统将东方正念冥想的修心哲学与独立游戏的视觉美学结合，通过“无HUD”（No-HUD）设计范式，将神经反馈信号伪装为自然场景中的光影变化，实现“训练即体验”的无感化干预。用户在体验过程中不会看到进度条、得分面板或能量柱。所有脑电反馈全部通过自然界的光影、天气、植物生长和环境音效来呈现。</w:t>
      </w:r>
    </w:p>
    <w:p>
      <w:pPr>
        <w:spacing w:after="200" w:before="360" w:line="3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二、系统整体设计思路</w:t>
      </w:r>
    </w:p>
    <w:p>
      <w:pPr>
        <w:spacing w:after="120" w:before="240" w:line="3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2.1 设计理念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本系统的核心设计哲学是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“无HUD注意力训练”</w:t>
      </w:r>
      <w:r>
        <w:rPr>
          <w:rFonts w:ascii="宋体" w:cs="宋体" w:eastAsia="宋体" w:hAnsi="宋体"/>
          <w:sz w:val="21"/>
          <w:szCs w:val="21"/>
        </w:rPr>
        <w:t xml:space="preserve">。训练过程中绝对禁止出现传统医疗软件的进度条、得分、能量柱或任何UI面板。所有SSVEP闪烁源必须伪装为自然场景中合理的发光元素——萤火虫、星光、水面波光、篝火、极光。注意力反馈则转化为环境叙事变化：莲花绽放，树木生长，雾气消散，星辰连结。用户不会意识到自己正在“训练”，而是沉浸在一个宁静而美丽的世界中。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这一理念从三个维度展开。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视觉语义掩蔽（Semantic Masking）是设计的第一层约束。SSVEP范式在物理上要求特定频率的闪烁刺激，但如果用户看到的是屏幕上的方块在闪，体验就失败了。我们的做法是：将所有闪烁源嵌入自然叙事逻辑中。花蕊散发的暖金光晕（15 Hz）、萤火虫腹部规律的生物荧光（15 Hz）、星辰柔和的脉动（15 Hz）——这些闪烁在自然界中本就存在，用户不会将其感知为“刺激”，而是“光”。色彩层面同样有严格的语义约束：目标刺激统一使用温暖或治愈的生命色（生物荧光绿 #cddc39、暖烛光 #ffe9a6），干扰刺激则使用冰冷或深邃的背景色（幽冷星蓝 #8ab4f8、暗紫雷云 #4a148c）。颜色本身就是叙事——暖色是你要追随的，冷色是你要忽略的，用户不需要读任何说明就能直觉理解。在防疲劳渲染上，系统采用局部高光闪烁（目标区域占屏幕面积不到5%）配合透明度正弦波形变（60%–100%平滑波动），绝不使用大面积0–100%的方波硬闪。这意味着，即便用户盯着目标看二十分钟，也不会感到视觉疲劳。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视觉之外，跨模态听觉诱导构成第二层反馈。视觉反馈的延迟必须与听觉同步（&lt;100ms），形成双脑回路的闭环。当用户进入专注状态（SSVEP达标），声景中引入丰满的低频——大提琴长音、颂钵共鸣声、清脆的风铃声——同时加入等时音（Isochronic Tones）辅助脑波同步。当用户走神（SSVEP掉零），音乐瞬间失去低频（Low-pass filter开启），只留下干涩的风声和枯叶摩擦声。声音的变化与视觉光影的变化在时间上严格同步，用户甚至不需要“看到”反馈就能“听到”自己走神了。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保持用户处于认知最优区间则需要动态难度调节。系统不会让用户一直停留在同一个难度上。如果算法检测到用户连续3分钟保持高专注状态，会自动降低主目标的对比度——花蕊的光变淡，萤火虫的亮光收缩——迫使注意力系统付出更多努力来维持锁定。反过来，如果用户持续受挫（SSVEP持续低下），主目标会发出引导性的脉冲光，干扰项自动变暗，相当于“扶着用户走一段”。这种机制确保训练始终处于认知负荷的最优区间，既不过于轻松，也不令人绝望。</w:t>
      </w:r>
    </w:p>
    <w:p>
      <w:pPr>
        <w:spacing w:after="120" w:before="240" w:line="3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2.2 系统总体架构</w:t>
      </w:r>
    </w:p>
    <w:p>
      <w:pPr>
        <w:spacing w:after="0" w:before="200"/>
        <w:jc w:val="center"/>
      </w:pPr>
      <w:r>
        <w:drawing>
          <wp:inline distT="0" distB="0" distL="0" distR="0">
            <wp:extent cx="5524500" cy="5324475"/>
            <wp:effectExtent t="0" r="0" b="0" l="0"/>
            <wp:docPr id="1" name="系统总体架构图" descr="系统总体架构图" title="系统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rPr>
          <w:rFonts w:ascii="楷体" w:cs="楷体" w:eastAsia="楷体" w:hAnsi="楷体"/>
          <w:i/>
          <w:iCs/>
          <w:sz w:val="18"/>
          <w:szCs w:val="18"/>
        </w:rPr>
        <w:t xml:space="preserve">图1：系统总体架构图。系统采用“采集—处理—渲染—反馈”四层闭环架构：EEG信号经蓝牙采集后送入信号处理层进行CCA频谱分析，计算出的注意力指数AI驱动场景渲染层产生视觉反馈，形成闭环。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如图1所示，系统采用“采集—处理—渲染—反馈”的四层闭环架构：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/>
          <w:sz w:val="21"/>
          <w:szCs w:val="21"/>
        </w:rPr>
        <w:t xml:space="preserve">信号采集层：通过华南脑控五通道脑电头环（电极位置：O1、O2、C3、C4及前额参考电极）采集用户枕叶区SSVEP信号，经蓝牙5.0传输至上位机；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/>
          <w:sz w:val="21"/>
          <w:szCs w:val="21"/>
        </w:rPr>
        <w:t xml:space="preserve">信号处理层：在HybridBCI平台上执行带通滤波（5–50 Hz）→ 独立成分分析（ICA）去伪迹 → 快速傅里叶变换（FFT）频谱分析 → SSVEP目标频率功率提取，计算实时注意力指数（Attention Index, AI）；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/>
          <w:sz w:val="21"/>
          <w:szCs w:val="21"/>
        </w:rPr>
        <w:t xml:space="preserve">场景渲染层：基于AI值驱动Canvas 2D/WebGL渲染引擎，以场景叙事方式呈现注意力反馈。AI &gt; 0.7触发正向反馈（花开、雾散、星空明亮），AI &lt; 0.3触发柔和引导（暖光增亮、场景微动）；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/>
          <w:sz w:val="21"/>
          <w:szCs w:val="21"/>
        </w:rPr>
        <w:t xml:space="preserve">用户交互层：提供关卡选择、标定流程、训练计时等交互功能，同时保持视觉界面的简洁与沉浸感。</w:t>
      </w:r>
    </w:p>
    <w:p>
      <w:pPr>
        <w:spacing w:after="120" w:before="240" w:line="3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2.3 六级渐进式训练体系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系统设计了六个训练关卡，遵循“觉察→聚焦→辨别→抗干扰→沉浸→高峰”的渐进认知负荷递增原则。</w:t>
      </w:r>
    </w:p>
    <w:p>
      <w:pPr>
        <w:spacing w:after="100" w:before="200" w:line="36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境界一：觉醒（Awakening）—— 持续性注意力构建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前两关不设置干扰刺激，目标是激活顶枕叶视觉皮层，建立基础的SSVEP共振回路。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2200"/>
        <w:gridCol w:w="180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关卡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训练目标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SSVEP目标</w:t>
            </w:r>
          </w:p>
        </w:tc>
        <w:tc>
          <w:tcPr>
            <w:tcW w:type="dxa" w:w="1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干扰刺激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涟漪绽放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呼吸觉察与基础注视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花蕊暖金色，15 Hz</w:t>
            </w:r>
          </w:p>
        </w:tc>
        <w:tc>
          <w:tcPr>
            <w:tcW w:type="dxa" w:w="1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萤火引路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稳定追踪与注意力维持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萤火虫群，15 Hz</w:t>
            </w:r>
          </w:p>
        </w:tc>
        <w:tc>
          <w:tcPr>
            <w:tcW w:type="dxa" w:w="1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无</w:t>
            </w:r>
          </w:p>
        </w:tc>
      </w:tr>
    </w:tbl>
    <w:p>
      <w:pPr>
        <w:spacing w:after="60" w:before="60" w:line="36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关卡1：涟漪绽放。</w:t>
      </w:r>
      <w:r>
        <w:rPr>
          <w:rFonts w:ascii="宋体" w:cs="宋体" w:eastAsia="宋体" w:hAnsi="宋体"/>
          <w:sz w:val="21"/>
          <w:szCs w:val="21"/>
        </w:rPr>
        <w:t xml:space="preserve">暗色湖面，中央含苞睡莲。注意力聚焦时花蕊散发暖金波光，水面荡起涟漪，花瓣层层绽放；走神时花瓣缓缓闭合，水面归于静止。核心隐喻：注意力即生命力。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关卡2：萤火引路。</w:t>
      </w:r>
      <w:r>
        <w:rPr>
          <w:rFonts w:ascii="宋体" w:cs="宋体" w:eastAsia="宋体" w:hAnsi="宋体"/>
          <w:sz w:val="21"/>
          <w:szCs w:val="21"/>
        </w:rPr>
        <w:t xml:space="preserve">迷雾黑森林，萤火虫群缓缓飞舞。注意力维持时萤光增强、驱散迷雾，远处石碑上的古老符文逐一亮起；走神时迷雾从四面合拢。用户想看清石碑上写了什么——这个好奇心本身就是维持注意力的天然锚点。</w:t>
      </w:r>
    </w:p>
    <w:p>
      <w:pPr>
        <w:spacing w:after="100" w:before="200" w:line="36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境界二：共鸣（Resonance）—— 转移性与选择性注意力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从关卡3开始，系统引入诱惑性干扰刺激。训练大脑在多个目标间精准转移注意力，或主动抑制对错误目标的冲动响应。这一阶段的临床意义尤为突出——ADHD患者最核心的缺陷之一正是在干扰存在时维持目标注意的能力。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2200"/>
        <w:gridCol w:w="180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关卡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训练目标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SSVEP目标</w:t>
            </w:r>
          </w:p>
        </w:tc>
        <w:tc>
          <w:tcPr>
            <w:tcW w:type="dxa" w:w="1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干扰刺激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星图寻迹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空间搜索与选择性注意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金色星图，15 Hz</w:t>
            </w:r>
          </w:p>
        </w:tc>
        <w:tc>
          <w:tcPr>
            <w:tcW w:type="dxa" w:w="1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蓝色星图，20 Hz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真假萤火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目标辨别与抗干扰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黄绿萤火虫，15 Hz</w:t>
            </w:r>
          </w:p>
        </w:tc>
        <w:tc>
          <w:tcPr>
            <w:tcW w:type="dxa" w:w="1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蓝色萤火虫，20 Hz</w:t>
            </w:r>
          </w:p>
        </w:tc>
      </w:tr>
    </w:tbl>
    <w:p>
      <w:pPr>
        <w:spacing w:after="60" w:before="60" w:line="36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关卡3：星图寻迹。</w:t>
      </w:r>
      <w:r>
        <w:rPr>
          <w:rFonts w:ascii="宋体" w:cs="宋体" w:eastAsia="宋体" w:hAnsi="宋体"/>
          <w:sz w:val="21"/>
          <w:szCs w:val="21"/>
        </w:rPr>
        <w:t xml:space="preserve">繁星夜空，金色主星（15 Hz）与冷蓝背景星（20 Hz）。锁定主星后星座连线完成，化为光之灵兽跃出星图；被蓝光吸引则连线断裂。训练转移性注意——星空中有那么多光，你只追随特定的那一颗。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关卡4：真假萤火。</w:t>
      </w:r>
      <w:r>
        <w:rPr>
          <w:rFonts w:ascii="宋体" w:cs="宋体" w:eastAsia="宋体" w:hAnsi="宋体"/>
          <w:sz w:val="21"/>
          <w:szCs w:val="21"/>
        </w:rPr>
        <w:t xml:space="preserve">森林中黄绿（15 Hz）与蓝色（20 Hz）萤火虫混飞，数量相当。追踪目标萤火时生命之树从地面长出；蓝色SSVEP反超则树木枯萎化为沙砾。训练选择性注意与冲动抑制——在充满诱惑的环境中维持目标锁定，直接迁移到现实中的“嘈杂环境专注”。</w:t>
      </w:r>
    </w:p>
    <w:p>
      <w:pPr>
        <w:spacing w:after="100" w:before="200" w:line="36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境界三：心流（Flow State）—— 动态追踪与高级执行控制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最后两关模拟真实世界的复杂挑战（如驾驶、激烈运动中的注意力分配）。目标开始移动，同时引入突发性瞬态干扰。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2200"/>
        <w:gridCol w:w="180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关卡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训练目标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SSVEP目标</w:t>
            </w:r>
          </w:p>
        </w:tc>
        <w:tc>
          <w:tcPr>
            <w:tcW w:type="dxa" w:w="1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干扰刺激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飞燕破云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持续抗扰与情绪调节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飞燕胸光，15 Hz</w:t>
            </w:r>
          </w:p>
        </w:tc>
        <w:tc>
          <w:tcPr>
            <w:tcW w:type="dxa" w:w="1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闪电，20 Hz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流星试炼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高负荷注意力分配与峰值体验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星→月，15 Hz</w:t>
            </w:r>
          </w:p>
        </w:tc>
        <w:tc>
          <w:tcPr>
            <w:tcW w:type="dxa" w:w="1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流星+极光，20 Hz</w:t>
            </w:r>
          </w:p>
        </w:tc>
      </w:tr>
    </w:tbl>
    <w:p>
      <w:pPr>
        <w:spacing w:after="60" w:before="60" w:line="36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关卡5：飞燕破云。</w:t>
      </w:r>
      <w:r>
        <w:rPr>
          <w:rFonts w:ascii="宋体" w:cs="宋体" w:eastAsia="宋体" w:hAnsi="宋体"/>
          <w:sz w:val="21"/>
          <w:szCs w:val="21"/>
        </w:rPr>
        <w:t xml:space="preserve">暴风雨夜空，引路灵燕动态飞舞（15 Hz），闪电为干扰（20 Hz）。追踪灵燕则平稳穿梭于云层；被闪电吸引则画面剧烈颠簸。灵燕运动轨迹基于历史注意力数据自适应调节——追踪好则飞更高更远，频繁失误则放慢靠近。训练平滑追踪眼动与强干扰下动态目标锁定。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关卡6：流星试炼。</w:t>
      </w:r>
      <w:r>
        <w:rPr>
          <w:rFonts w:ascii="宋体" w:cs="宋体" w:eastAsia="宋体" w:hAnsi="宋体"/>
          <w:sz w:val="21"/>
          <w:szCs w:val="21"/>
        </w:rPr>
        <w:t xml:space="preserve">雪山夜空孤星（15 Hz），干扰为极光、流星、飞鸟群——精心设计触发人类本能的运动捕捉和新奇刺激导向反射。持续锁定则孤星膨胀化为满月，清辉洒满雪山顶；眼跳则满月裂痕或被乌云遮蔽。最终挑战——“八风吹不动”，整个训练中最接近巅峰体验的时刻。</w:t>
      </w:r>
    </w:p>
    <w:p>
      <w:pPr>
        <w:spacing w:after="120" w:before="240" w:line="3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2.4 主要创新点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创新点一：基于SSVEP空间注意力调制的注意力闭环训练范式</w:t>
      </w:r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传统EEG注意力训练依赖PFC β波信号</w:t>
      </w:r>
      <w:r>
        <w:rPr>
          <w:rFonts w:ascii="宋体" w:cs="宋体" w:eastAsia="宋体" w:hAnsi="宋体"/>
          <w:sz w:val="21"/>
          <w:szCs w:val="21"/>
          <w:vertAlign w:val="superscript"/>
        </w:rPr>
        <w:t xml:space="preserve">[3]</w:t>
      </w:r>
      <w:r>
        <w:rPr>
          <w:rFonts w:ascii="宋体" w:cs="宋体" w:eastAsia="宋体" w:hAnsi="宋体"/>
          <w:sz w:val="21"/>
          <w:szCs w:val="21"/>
        </w:rPr>
        <w:t xml:space="preserve">，易受干扰，信噪比低。本项目改用SSVEP空间调制范式：SSVEP直接反映用户对特定空间位置的注意聚焦程度</w:t>
      </w:r>
      <w:r>
        <w:rPr>
          <w:rFonts w:ascii="宋体" w:cs="宋体" w:eastAsia="宋体" w:hAnsi="宋体"/>
          <w:sz w:val="21"/>
          <w:szCs w:val="21"/>
          <w:vertAlign w:val="superscript"/>
        </w:rPr>
        <w:t xml:space="preserve">[8]</w:t>
      </w:r>
      <w:r>
        <w:rPr>
          <w:rFonts w:ascii="宋体" w:cs="宋体" w:eastAsia="宋体" w:hAnsi="宋体"/>
          <w:sz w:val="21"/>
          <w:szCs w:val="21"/>
        </w:rPr>
        <w:t xml:space="preserve">，频域特征集中，枕叶采集受肌电和眼动干扰小。这意味着注意力训练从“监测大脑整体激活状态的粗粒度估计”推进到“精确评估空间注意力聚焦位置的细粒度测量”。在实践中，系统能够区分用户是在注视15 Hz的暖色目标还是20 Hz的冷色干扰——这种区分能力是β波范式做不到的。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创新点二：“无HUD”医疗级神经反馈伪装为自然场景叙事</w:t>
      </w:r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现有神经反馈产品普遍使用进度条、仪表盘等游戏化HUD元素</w:t>
      </w:r>
      <w:r>
        <w:rPr>
          <w:rFonts w:ascii="宋体" w:cs="宋体" w:eastAsia="宋体" w:hAnsi="宋体"/>
          <w:sz w:val="21"/>
          <w:szCs w:val="21"/>
          <w:vertAlign w:val="superscript"/>
        </w:rPr>
        <w:t xml:space="preserve">[4]</w:t>
      </w:r>
      <w:r>
        <w:rPr>
          <w:rFonts w:ascii="宋体" w:cs="宋体" w:eastAsia="宋体" w:hAnsi="宋体"/>
          <w:sz w:val="21"/>
          <w:szCs w:val="21"/>
        </w:rPr>
        <w:t xml:space="preserve">，审美疲劳快，成年用户依从性差。本项目提出的“无HUD”设计范式，将SSVEP视觉刺激伪装为自然场景中的发光元素（花蕊、萤火虫、星辰），注意力反馈转化为环境叙事变化（莲花绽放、树木生长、雾气消散），同时通过跨模态听觉诱导（专注时低频丰厚的颂钵声→走神时干涩的风声）和动态难度调节（连续专注3分钟自动降低对比度→持续受挫时干扰自动变暗）构建沉浸感。视觉语义掩蔽策略确保所有闪烁在物理上满足SSVEP范式要求，在感知上却被用户理解为“自然光影”。据我们所知，这一设计尚无在临床神经反馈系统中完全消除数字界面元素的先例，尝试将医疗设备的交互品质提升至消费级产品的美学水平。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创新点三：东方正念哲学与SSVEP神经科学的跨学科融合</w:t>
      </w:r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现有注意力训练系统缺乏文化适应性和长期使用动机。本项目将东方正念冥想的修心哲学——“不追随、不抗拒”的觉察态度——与SSVEP神经科学原理结合。每个关卡对应一个正念修习阶段（觉察→聚焦→辨别→坚定→超越），训练引导语采用冥想引导而非游戏指令。关卡4的“生命之树”隐喻正念中“善念如树、恶念如沙”的意象；关卡6的“八风吹不动”直接来自禅宗公案。这种融合将注意力的“认知训练”重新定义为“正念修习”，通过叙事和美学设计赋予训练过程以意义感和仪式感，从而激发用户的内在动机。</w:t>
      </w:r>
    </w:p>
    <w:p>
      <w:pPr>
        <w:spacing w:after="200" w:before="360" w:line="3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三、系统实现路径</w:t>
      </w:r>
    </w:p>
    <w:p>
      <w:pPr>
        <w:spacing w:after="120" w:before="240" w:line="3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 技术路线概述</w:t>
      </w:r>
    </w:p>
    <w:p>
      <w:pPr>
        <w:spacing w:after="0" w:before="200"/>
        <w:jc w:val="center"/>
      </w:pPr>
      <w:r>
        <w:drawing>
          <wp:inline distT="0" distB="0" distL="0" distR="0">
            <wp:extent cx="5524500" cy="342900"/>
            <wp:effectExtent t="0" r="0" b="0" l="0"/>
            <wp:docPr id="1" name="技术路线图" descr="技术路线图" title="技术路线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rPr>
          <w:rFonts w:ascii="楷体" w:cs="楷体" w:eastAsia="楷体" w:hAnsi="楷体"/>
          <w:i/>
          <w:iCs/>
          <w:sz w:val="18"/>
          <w:szCs w:val="18"/>
        </w:rPr>
        <w:t xml:space="preserve">图2：系统实现三阶段技术路线。阶段一（已完成）：基于Web技术栈的六关卡视觉原型验证；阶段二（进行中）：接入华南脑控EEG头环，实现CCA闭环集成；阶段三（规划中）：迁移至macOS原生平台，实现临床级SSVEP刺激精度。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如图2所示，系统实现分为三个阶段：视觉原型验证（已完成）→ SSVEP闭环集成（进行中）→ 原生平台迁移（规划中）。</w:t>
      </w:r>
    </w:p>
    <w:p>
      <w:pPr>
        <w:spacing w:after="120" w:before="240" w:line="3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 阶段一：视觉原型验证（已完成）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基于Web技术栈构建了完整的六关卡视觉原型，用于验证SSVEP目标伪装策略和注意力驱动反馈的视觉可行性。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技术选型</w:t>
      </w:r>
      <w:r>
        <w:rPr>
          <w:rFonts w:ascii="宋体" w:cs="宋体" w:eastAsia="宋体" w:hAnsi="宋体"/>
          <w:sz w:val="21"/>
          <w:szCs w:val="21"/>
        </w:rPr>
        <w:t xml:space="preserve">：Vite + TypeScript + Canvas 2D，零运行时依赖，保证渲染帧率稳定在60 FPS。采用Canvas 2D而非WebGL的原因是：SSVEP视觉刺激的核心需求是精确的亮度调制（55–100%正弦波）而非复杂3D渲染，Canvas 2D的globalAlpha属性可直接实现亚像素级透明度控制。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核心模块实现</w:t>
      </w:r>
      <w:r>
        <w:rPr>
          <w:rFonts w:ascii="宋体" w:cs="宋体" w:eastAsia="宋体" w:hAnsi="宋体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/>
          <w:sz w:val="21"/>
          <w:szCs w:val="21"/>
        </w:rPr>
        <w:t xml:space="preserve">SSVEP时序引擎（Timing.ts）：实现ssvepOpacity(time, frequency, min, max)函数，通过正弦波sin(time × 2π × frequency)生成精确的亮度调制曲线，频率精度由requestAnimationFrame时间戳保证；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/>
          <w:sz w:val="21"/>
          <w:szCs w:val="21"/>
        </w:rPr>
        <w:t xml:space="preserve">场景渲染框架（LevelRenderer抽象基类）：定义六关卡统一接口draw(ctx, state)，每个关卡继承并实现独立的粒子系统、噪声场和注意力驱动逻辑；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/>
          <w:sz w:val="21"/>
          <w:szCs w:val="21"/>
        </w:rPr>
        <w:t xml:space="preserve">注意力模拟器（Controls.ts）：Debug面板提供0–1连续注意力值滑块，支持实时调节目标频率（5–30 Hz）、干扰频率、粒子密度等参数，用于离线验证视觉反馈效果。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验证成果</w:t>
      </w:r>
      <w:r>
        <w:rPr>
          <w:rFonts w:ascii="宋体" w:cs="宋体" w:eastAsia="宋体" w:hAnsi="宋体"/>
          <w:sz w:val="21"/>
          <w:szCs w:val="21"/>
        </w:rPr>
        <w:t xml:space="preserve">：六关卡视觉原型已在1440×900分辨率、DPR=2条件下稳定运行，SSVEP目标区域占屏幕面积&lt;5%，亮度调制范围严格控制在55–100%，确认了“将SSVEP刺激伪装为自然发光元素”这一核心策略的视觉可行性。</w:t>
      </w:r>
    </w:p>
    <w:p>
      <w:pPr>
        <w:spacing w:after="120" w:before="240" w:line="3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 阶段二：SSVEP闭环集成（进行中）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本阶段核心任务是将视觉原型与真实EEG信号源对接，构建“EEG采集→SSVEP解析→注意力计算→场景反馈”的完整闭环。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EEG信号接入</w:t>
      </w:r>
      <w:r>
        <w:rPr>
          <w:rFonts w:ascii="宋体" w:cs="宋体" w:eastAsia="宋体" w:hAnsi="宋体"/>
          <w:sz w:val="21"/>
          <w:szCs w:val="21"/>
        </w:rPr>
        <w:t xml:space="preserve">：通过Web Bluetooth API连接华南脑控五通道脑电头环，获取O1/O2枕叶区原始EEG数据。信号采样率250 Hz，经蓝牙5.0传输至浏览器端。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SSVEP信号处理</w:t>
      </w:r>
      <w:r>
        <w:rPr>
          <w:rFonts w:ascii="宋体" w:cs="宋体" w:eastAsia="宋体" w:hAnsi="宋体"/>
          <w:sz w:val="21"/>
          <w:szCs w:val="21"/>
        </w:rPr>
        <w:t xml:space="preserve">：采用CCA（典型相关分析）算法进行SSVEP频率检测</w:t>
      </w:r>
      <w:r>
        <w:rPr>
          <w:rFonts w:ascii="宋体" w:cs="宋体" w:eastAsia="宋体" w:hAnsi="宋体"/>
          <w:sz w:val="21"/>
          <w:szCs w:val="21"/>
          <w:vertAlign w:val="superscript"/>
        </w:rPr>
        <w:t xml:space="preserve">[10]</w:t>
      </w:r>
      <w:r>
        <w:rPr>
          <w:rFonts w:ascii="宋体" w:cs="宋体" w:eastAsia="宋体" w:hAnsi="宋体"/>
          <w:sz w:val="21"/>
          <w:szCs w:val="21"/>
        </w:rPr>
        <w:t xml:space="preserve">。具体流程为：（1）5–50 Hz带通滤波去除直流偏移和高频噪声；（2）ICA去除眼电和肌电伪迹；（3）对1秒滑动窗口数据进行CCA分析，以目标频率及其谐波生成参考信号，计算相关系数作为SSVEP检测置信度；（4）对目标频率（15 Hz）和干扰频率（20 Hz）的SSVEP响应功率比值计算注意力指数AI = P_target / (P_target + P_distractor)。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注意力驱动反馈：AI值经0.5秒滑动平均平滑后映射为场景参数。正向反馈（AI &gt; 0.7）对应目标元素增亮、粒子密度增加、场景细节丰富化（花瓣绽放、雾气消散）。中性状态（0.3 &lt; AI &lt; 0.7）维持场景当前状态，仅有微幅呼吸感动画。引导反馈（AI &lt; 0.3）下目标区域暖光柔和增亮、引导粒子缓慢向目标汇聚——系统不会惩罚走神的用户，而是温和地把注意力“牵”回来。</w:t>
      </w:r>
    </w:p>
    <w:p>
      <w:pPr>
        <w:spacing w:after="120" w:before="240" w:line="3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3.4 阶段三：原生平台迁移（规划中）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Web原型的requestAnimationFrame无法保证SSVEP所需的亚毫秒级时间精度。为实现临床级SSVEP刺激，计划迁移至macOS原生平台：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/>
          <w:sz w:val="21"/>
          <w:szCs w:val="21"/>
        </w:rPr>
        <w:t xml:space="preserve">渲染引擎：Metal API + CADisplayLink，确保帧精确到VSync（16.67ms@60Hz）；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/>
          <w:sz w:val="21"/>
          <w:szCs w:val="21"/>
        </w:rPr>
        <w:t xml:space="preserve">SSVEP刺激控制：通过MTLRenderPassDescriptor的colorAttachments直接控制像素亮度，实现硬件级精确频率调制；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/>
          <w:sz w:val="21"/>
          <w:szCs w:val="21"/>
        </w:rPr>
        <w:t xml:space="preserve">信号处理：BrainFlow C++ SDK，支持实时EEG流处理、滤波和特征提取；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/>
          <w:sz w:val="21"/>
          <w:szCs w:val="21"/>
        </w:rPr>
        <w:t xml:space="preserve">UI框架：SwiftUI构建关卡选择和系统设置界面；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/>
          <w:sz w:val="21"/>
          <w:szCs w:val="21"/>
        </w:rPr>
        <w:t xml:space="preserve">音频引擎：Tone.js + Howler.js实现跨模态听觉诱导，低频双声拍（binaural beats）辅助注意力聚焦。</w:t>
      </w:r>
    </w:p>
    <w:p>
      <w:pPr>
        <w:spacing w:after="120" w:before="240" w:line="3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3.4 可行性论证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本项目的技术可行性基于三个已验证的基础。硬件层面，华南脑控IHNNK五通道脑电头环由项目资助方直接提供，其O1/O2枕叶电极布局专为采集视觉皮层SSVEP信号设计，250 Hz采样率的奈奎斯特频率（125 Hz）远高于本项目所需检测的最高频率成分（20 Hz基频 + 2次谐波40 Hz），信号采集能力有充分裕量。算法层面，CCA算法是SSVEP频率检测的经典方法</w:t>
      </w:r>
      <w:r>
        <w:rPr>
          <w:rFonts w:ascii="宋体" w:cs="宋体" w:eastAsia="宋体" w:hAnsi="宋体"/>
          <w:sz w:val="21"/>
          <w:szCs w:val="21"/>
          <w:vertAlign w:val="superscript"/>
        </w:rPr>
        <w:t xml:space="preserve">[10]</w:t>
      </w:r>
      <w:r>
        <w:rPr>
          <w:rFonts w:ascii="宋体" w:cs="宋体" w:eastAsia="宋体" w:hAnsi="宋体"/>
          <w:sz w:val="21"/>
          <w:szCs w:val="21"/>
        </w:rPr>
        <w:t xml:space="preserve">，近年来进一步发展出eTRCA</w:t>
      </w:r>
      <w:r>
        <w:rPr>
          <w:rFonts w:ascii="宋体" w:cs="宋体" w:eastAsia="宋体" w:hAnsi="宋体"/>
          <w:sz w:val="21"/>
          <w:szCs w:val="21"/>
          <w:vertAlign w:val="superscript"/>
        </w:rPr>
        <w:t xml:space="preserve">[12]</w:t>
      </w:r>
      <w:r>
        <w:rPr>
          <w:rFonts w:ascii="宋体" w:cs="宋体" w:eastAsia="宋体" w:hAnsi="宋体"/>
          <w:sz w:val="21"/>
          <w:szCs w:val="21"/>
        </w:rPr>
        <w:t xml:space="preserve">、CCA-USSR</w:t>
      </w:r>
      <w:r>
        <w:rPr>
          <w:rFonts w:ascii="宋体" w:cs="宋体" w:eastAsia="宋体" w:hAnsi="宋体"/>
          <w:sz w:val="21"/>
          <w:szCs w:val="21"/>
          <w:vertAlign w:val="superscript"/>
        </w:rPr>
        <w:t xml:space="preserve">[13]</w:t>
      </w:r>
      <w:r>
        <w:rPr>
          <w:rFonts w:ascii="宋体" w:cs="宋体" w:eastAsia="宋体" w:hAnsi="宋体"/>
          <w:sz w:val="21"/>
          <w:szCs w:val="21"/>
        </w:rPr>
        <w:t xml:space="preserve">等增强方案，在少通道条件下仍能保持较高识别率。本项目仅需区分两个固定频率（15 Hz vs 20 Hz），远低于常规SSVEP-BCI拼写器所需的40+频率识别量，算法难度显著降低。已有研究表明，基于游戏的BCI注意力训练在ADHD儿童中可行</w:t>
      </w:r>
      <w:r>
        <w:rPr>
          <w:rFonts w:ascii="宋体" w:cs="宋体" w:eastAsia="宋体" w:hAnsi="宋体"/>
          <w:sz w:val="21"/>
          <w:szCs w:val="21"/>
          <w:vertAlign w:val="superscript"/>
        </w:rPr>
        <w:t xml:space="preserve">[14]</w:t>
      </w:r>
      <w:r>
        <w:rPr>
          <w:rFonts w:ascii="宋体" w:cs="宋体" w:eastAsia="宋体" w:hAnsi="宋体"/>
          <w:sz w:val="21"/>
          <w:szCs w:val="21"/>
        </w:rPr>
        <w:t xml:space="preserve">，且神经反馈组的改善显著优于纯游戏对照组</w:t>
      </w:r>
      <w:r>
        <w:rPr>
          <w:rFonts w:ascii="宋体" w:cs="宋体" w:eastAsia="宋体" w:hAnsi="宋体"/>
          <w:sz w:val="21"/>
          <w:szCs w:val="21"/>
          <w:vertAlign w:val="superscript"/>
        </w:rPr>
        <w:t xml:space="preserve">[15]</w:t>
      </w:r>
      <w:r>
        <w:rPr>
          <w:rFonts w:ascii="宋体" w:cs="宋体" w:eastAsia="宋体" w:hAnsi="宋体"/>
          <w:sz w:val="21"/>
          <w:szCs w:val="21"/>
        </w:rPr>
        <w:t xml:space="preserve">。原型层面，阶段一已完成六关卡视觉原型的完整实现与验证（详见3.2节），确认了SSVEP视觉伪装策略和注意力驱动反馈的可行性。</w:t>
      </w:r>
    </w:p>
    <w:p>
      <w:pPr>
        <w:spacing w:after="200" w:before="360" w:line="3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四、系统预期应用价值和场景</w:t>
      </w:r>
    </w:p>
    <w:p>
      <w:pPr>
        <w:spacing w:after="120" w:before="240" w:line="3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 核心应用场景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场景一：ADHD辅助干预</w:t>
      </w:r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面向确诊ADHD的儿童和青少年，作为药物治疗的非药物补充方案。系统通过渐进式训练关卡，从基础注视（关卡1–2）逐步过渡到抗干扰训练（关卡4–6），帮助ADHD患者提升持续性注意力和选择性注意力。关卡4“真假萤火”中“在大量同质干扰中锁定特定目标”的训练逻辑，直接对应ADHD患者在课堂上“在嘈杂教室中专注于老师说话”的核心困难。预计单次训练时长15–20分钟，建议频率每日1–2次，持续8–12周为一个训练周期。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场景二：大众注意力健康维护</w:t>
      </w:r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面向注意力涣散的亚健康人群（如高压职场人士、考研学生），提供日常化注意力维护工具。“无HUD”设计使系统同时具备冥想引导和注意力训练的双重功能，用户无需承担“接受治疗”的心理负担。关卡1“涟漪绽放”和关卡2“萤火引路”的体验与冥想引导几乎无法区分——坐在工位上，戴上头环，看着湖面睡莲缓缓绽放十分钟，回到工作时的专注状态会有明显改善。预计单次体验10–15分钟，适合工作间隙或睡前使用。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场景三：正念冥想辅助</w:t>
      </w:r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面向正念冥想练习者，提供基于生理信号的冥想深度反馈。传统的冥想练习缺乏客观反馈，用户难以判断自己是否“入定”。本系统通过SSVEP信号量化冥想中的注意力聚焦程度，并以自然场景变化给予实时引导——当用户真正进入深度专注时，满天的星辰会亮起来，或一棵光之树在面前长成；当走神时，场景会安静地“睡去”。这种反馈比任何冥想老师的口头指导都更直观。</w:t>
      </w:r>
    </w:p>
    <w:p>
      <w:pPr>
        <w:spacing w:after="120" w:before="240" w:line="3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 预期技术指标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306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type="dxa" w:w="4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预期目标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SSVEP检测准确率</w:t>
            </w:r>
          </w:p>
        </w:tc>
        <w:tc>
          <w:tcPr>
            <w:tcW w:type="dxa" w:w="4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≥ 85%（CCA算法，5次平均）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注意力反馈延迟</w:t>
            </w:r>
          </w:p>
        </w:tc>
        <w:tc>
          <w:tcPr>
            <w:tcW w:type="dxa" w:w="4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≤ 500 ms（采集→解析→渲染全链路）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系统帧率</w:t>
            </w:r>
          </w:p>
        </w:tc>
        <w:tc>
          <w:tcPr>
            <w:tcW w:type="dxa" w:w="4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≥ 60 FPS（稳定，无掉帧）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单次训练时长</w:t>
            </w:r>
          </w:p>
        </w:tc>
        <w:tc>
          <w:tcPr>
            <w:tcW w:type="dxa" w:w="4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10–30 分钟（可配置）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用户依从性（8周留存率）</w:t>
            </w:r>
          </w:p>
        </w:tc>
        <w:tc>
          <w:tcPr>
            <w:tcW w:type="dxa" w:w="4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≥ 60%（目标值，待临床验证）</w:t>
            </w:r>
          </w:p>
        </w:tc>
      </w:tr>
    </w:tbl>
    <w:p>
      <w:pPr>
        <w:spacing w:after="120" w:before="240" w:line="3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 可扩展性</w:t>
      </w:r>
    </w:p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本系统的技术框架支持多维度扩展。频段层面，SSVEP目标频率可从当前8–30 Hz扩展至40 Hz以上的高频SSVEP区域</w:t>
      </w:r>
      <w:r>
        <w:rPr>
          <w:rFonts w:ascii="宋体" w:cs="宋体" w:eastAsia="宋体" w:hAnsi="宋体"/>
          <w:sz w:val="21"/>
          <w:szCs w:val="21"/>
          <w:vertAlign w:val="superscript"/>
        </w:rPr>
        <w:t xml:space="preserve">[11]</w:t>
      </w:r>
      <w:r>
        <w:rPr>
          <w:rFonts w:ascii="宋体" w:cs="宋体" w:eastAsia="宋体" w:hAnsi="宋体"/>
          <w:sz w:val="21"/>
          <w:szCs w:val="21"/>
        </w:rPr>
        <w:t xml:space="preserve">，当用户达到“明心”境界后解锁不可见频率模式，闪烁完全融入自然光变，视觉体验更为舒适。范式层面，可在SSVEP基础上叠加P300或运动想象范式，实现多模态脑机接口。场景层面，六关卡框架支持快速开发新主题（海洋、竹林、雪山），适配不同用户的审美偏好和临床需求。</w:t>
      </w:r>
    </w:p>
    <w:p>
      <w:pPr>
        <w:spacing w:after="200" w:before="360" w:line="3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五、应用系统的软硬件说明</w:t>
      </w:r>
    </w:p>
    <w:p>
      <w:pPr>
        <w:spacing w:after="120" w:before="240" w:line="3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 硬件配置</w:t>
      </w:r>
    </w:p>
    <w:p>
      <w:pPr>
        <w:spacing w:after="0" w:before="200"/>
        <w:jc w:val="center"/>
      </w:pPr>
      <w:r>
        <w:drawing>
          <wp:inline distT="0" distB="0" distL="0" distR="0">
            <wp:extent cx="4286250" cy="6057900"/>
            <wp:effectExtent t="0" r="0" b="0" l="0"/>
            <wp:docPr id="1" name="硬件照片" descr="硬件照片" title="硬件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rPr>
          <w:rFonts w:ascii="楷体" w:cs="楷体" w:eastAsia="楷体" w:hAnsi="楷体"/>
          <w:i/>
          <w:iCs/>
          <w:sz w:val="18"/>
          <w:szCs w:val="18"/>
        </w:rPr>
        <w:t xml:space="preserve">图3：华南脑控IHNNK五通道脑电头环构件示意图。头环配备O1、O2枕叶区AgCl电极、C3/C4中央区电极及前额水凝胶参考电极，通过拨动键和双压按键可拆卸清洗头带。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1200"/>
        <w:gridCol w:w="320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设备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型号/规格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32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EEG采集设备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华南脑控IHNNK五通道脑电头环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项目资助方提供</w:t>
            </w:r>
          </w:p>
        </w:tc>
        <w:tc>
          <w:tcPr>
            <w:tcW w:type="dxa" w:w="32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采集O1、O2、C3、C4及前额参考电极的EEG信号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EEG处理平台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HybridBCI开发板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项目资助方提供</w:t>
            </w:r>
          </w:p>
        </w:tc>
        <w:tc>
          <w:tcPr>
            <w:tcW w:type="dxa" w:w="32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EEG信号预处理、蓝牙传输控制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用户终端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个人计算机（macOS 14+ / Windows 10+）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用户自备</w:t>
            </w:r>
          </w:p>
        </w:tc>
        <w:tc>
          <w:tcPr>
            <w:tcW w:type="dxa" w:w="32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运行训练软件，渲染视觉场景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显示器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60 Hz以上刷新率显示器（推荐144 Hz）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用户自备</w:t>
            </w:r>
          </w:p>
        </w:tc>
        <w:tc>
          <w:tcPr>
            <w:tcW w:type="dxa" w:w="32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显示SSVEP视觉刺激</w:t>
            </w:r>
          </w:p>
        </w:tc>
      </w:tr>
    </w:tbl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华南脑控IHNNK五通道脑电头环由项目资助方提供，无需额外采购。该头环采用AgCl湿电极（O1、O2、C3、C4位置配合电极膏渗透头发确保头皮接触）和水凝胶电极（前额位置），通过蓝牙5.0与上位机通信，采样率250 Hz，奈奎斯特频率125 Hz，远高于本项目20 Hz目标频率的检测需求。HybridBCI开发板同样由资助方提供，负责EEG信号预处理和蓝牙传输控制。</w:t>
      </w:r>
    </w:p>
    <w:p>
      <w:pPr>
        <w:spacing w:after="120" w:before="240" w:line="3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 软件配置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41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软件/框架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4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5.x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开源</w:t>
            </w:r>
          </w:p>
        </w:tc>
        <w:tc>
          <w:tcPr>
            <w:tcW w:type="dxa" w:w="4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核心开发语言，严格类型安全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6.x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开源</w:t>
            </w:r>
          </w:p>
        </w:tc>
        <w:tc>
          <w:tcPr>
            <w:tcW w:type="dxa" w:w="4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构建工具，开发服务器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Canvas 2D / WebGL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浏览器原生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内置</w:t>
            </w:r>
          </w:p>
        </w:tc>
        <w:tc>
          <w:tcPr>
            <w:tcW w:type="dxa" w:w="4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场景渲染和SSVEP亮度调制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Web Bluetooth API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浏览器原生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内置</w:t>
            </w:r>
          </w:p>
        </w:tc>
        <w:tc>
          <w:tcPr>
            <w:tcW w:type="dxa" w:w="4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EEG头环蓝牙连接和数据传输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BrainFlow (WASM)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最新版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开源</w:t>
            </w:r>
          </w:p>
        </w:tc>
        <w:tc>
          <w:tcPr>
            <w:tcW w:type="dxa" w:w="4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EEG信号处理（滤波、ICA、CCA）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Simplex Noise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自实现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自研</w:t>
            </w:r>
          </w:p>
        </w:tc>
        <w:tc>
          <w:tcPr>
            <w:tcW w:type="dxa" w:w="4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场景噪声场和粒子系统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Metal API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Apple原生</w:t>
            </w:r>
          </w:p>
        </w:tc>
        <w:tc>
          <w:tcPr>
            <w:tcW w:type="dxa" w:w="4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原生版本SSVEP渲染（阶段三）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SwiftUI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Apple原生</w:t>
            </w:r>
          </w:p>
        </w:tc>
        <w:tc>
          <w:tcPr>
            <w:tcW w:type="dxa" w:w="4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原生版本UI框架（阶段三）</w:t>
            </w:r>
          </w:p>
        </w:tc>
      </w:tr>
    </w:tbl>
    <w:p>
      <w:pPr>
        <w:spacing w:after="60" w:before="60" w:line="360"/>
        <w:ind w:firstLine="420"/>
      </w:pPr>
      <w:r>
        <w:rPr>
          <w:rFonts w:ascii="宋体" w:cs="宋体" w:eastAsia="宋体" w:hAnsi="宋体"/>
          <w:sz w:val="21"/>
          <w:szCs w:val="21"/>
        </w:rPr>
        <w:t xml:space="preserve">全部软件依赖均为开源或平台原生组件，无商业许可成本。</w:t>
      </w:r>
    </w:p>
    <w:p>
      <w:pPr>
        <w:spacing w:after="200" w:before="360" w:line="3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参考文献</w:t>
      </w:r>
    </w:p>
    <w:p>
      <w:pPr>
        <w:spacing w:after="40" w:before="40" w:line="300"/>
        <w:ind w:left="420" w:hanging="420"/>
      </w:pPr>
      <w:r>
        <w:rPr>
          <w:rFonts w:ascii="宋体" w:cs="宋体" w:eastAsia="宋体" w:hAnsi="宋体"/>
          <w:sz w:val="18"/>
          <w:szCs w:val="18"/>
        </w:rPr>
        <w:t xml:space="preserve">[1] Polanczyk G V, Willcutt E G, Salum G A, et al. ADHD prevalence estimates across three decades: an updated systematic review and meta-regression analysis. International Journal of Epidemiology, 2014, 43(2): 434–442.</w:t>
      </w:r>
    </w:p>
    <w:p>
      <w:pPr>
        <w:spacing w:after="40" w:before="40" w:line="300"/>
        <w:ind w:left="420" w:hanging="420"/>
      </w:pPr>
      <w:r>
        <w:rPr>
          <w:rFonts w:ascii="宋体" w:cs="宋体" w:eastAsia="宋体" w:hAnsi="宋体"/>
          <w:sz w:val="18"/>
          <w:szCs w:val="18"/>
        </w:rPr>
        <w:t xml:space="preserve">[2] Gruzelier J H. EEG-neurofeedback for optimising performance. III: A review of methodological and theoretical considerations. Neuroscience &amp; Biobehavioral Reviews, 2014, 44: 159–182.</w:t>
      </w:r>
    </w:p>
    <w:p>
      <w:pPr>
        <w:spacing w:after="40" w:before="40" w:line="300"/>
        <w:ind w:left="420" w:hanging="420"/>
      </w:pPr>
      <w:r>
        <w:rPr>
          <w:rFonts w:ascii="宋体" w:cs="宋体" w:eastAsia="宋体" w:hAnsi="宋体"/>
          <w:sz w:val="18"/>
          <w:szCs w:val="18"/>
        </w:rPr>
        <w:t xml:space="preserve">[3] Loo S K, Barkley R A. Clinical utility of EEG in attention deficit hyperactivity disorder. Applied Neuropsychology, 2005, 12(2): 64–76.</w:t>
      </w:r>
    </w:p>
    <w:p>
      <w:pPr>
        <w:spacing w:after="40" w:before="40" w:line="300"/>
        <w:ind w:left="420" w:hanging="420"/>
      </w:pPr>
      <w:r>
        <w:rPr>
          <w:rFonts w:ascii="宋体" w:cs="宋体" w:eastAsia="宋体" w:hAnsi="宋体"/>
          <w:sz w:val="18"/>
          <w:szCs w:val="18"/>
        </w:rPr>
        <w:t xml:space="preserve">[4] Enriquez-Geppert S, Huster R J, Herrmann C S. EEG-neurofeedback as a tool to modulate cognition and behavior: A review tutorial. Frontiers in Human Neuroscience, 2017, 11: 51.</w:t>
      </w:r>
    </w:p>
    <w:p>
      <w:pPr>
        <w:spacing w:after="40" w:before="40" w:line="300"/>
        <w:ind w:left="420" w:hanging="420"/>
      </w:pPr>
      <w:r>
        <w:rPr>
          <w:rFonts w:ascii="宋体" w:cs="宋体" w:eastAsia="宋体" w:hAnsi="宋体"/>
          <w:sz w:val="18"/>
          <w:szCs w:val="18"/>
        </w:rPr>
        <w:t xml:space="preserve">[5] Norcia A M, Appelbaum L G, Ales J M, et al. The steady-state visual evoked potential in vision research: A review. Journal of Vision, 2015, 15(6): 4.</w:t>
      </w:r>
    </w:p>
    <w:p>
      <w:pPr>
        <w:spacing w:after="40" w:before="40" w:line="300"/>
        <w:ind w:left="420" w:hanging="420"/>
      </w:pPr>
      <w:r>
        <w:rPr>
          <w:rFonts w:ascii="宋体" w:cs="宋体" w:eastAsia="宋体" w:hAnsi="宋体"/>
          <w:sz w:val="18"/>
          <w:szCs w:val="18"/>
        </w:rPr>
        <w:t xml:space="preserve">[6] Vialatte F B, Maurice M, Dauwels J, et al. Steady-state visually evoked potentials: Focus on essential paradigms and future perspectives. Progress in Neurobiology, 2010, 90(4): 418–438.</w:t>
      </w:r>
    </w:p>
    <w:p>
      <w:pPr>
        <w:spacing w:after="40" w:before="40" w:line="300"/>
        <w:ind w:left="420" w:hanging="420"/>
      </w:pPr>
      <w:r>
        <w:rPr>
          <w:rFonts w:ascii="宋体" w:cs="宋体" w:eastAsia="宋体" w:hAnsi="宋体"/>
          <w:sz w:val="18"/>
          <w:szCs w:val="18"/>
        </w:rPr>
        <w:t xml:space="preserve">[7] Morgan S T, Hansen J C, Hillyard S A. Selective attention to stimulus location modulates the steady-state visual evoked potential. Proceedings of the National Academy of Sciences, 1996, 93(10): 4770–4774.</w:t>
      </w:r>
    </w:p>
    <w:p>
      <w:pPr>
        <w:spacing w:after="40" w:before="40" w:line="300"/>
        <w:ind w:left="420" w:hanging="420"/>
      </w:pPr>
      <w:r>
        <w:rPr>
          <w:rFonts w:ascii="宋体" w:cs="宋体" w:eastAsia="宋体" w:hAnsi="宋体"/>
          <w:sz w:val="18"/>
          <w:szCs w:val="18"/>
        </w:rPr>
        <w:t xml:space="preserve">[8] Kelly S P, Lalor E C, Reilly R B, et al. Visual spatial attention tracking using high-density SSVEP data for independent brain-computer communication. IEEE Transactions on Neural Systems and Rehabilitation Engineering, 2005, 13(2): 172–178.</w:t>
      </w:r>
    </w:p>
    <w:p>
      <w:pPr>
        <w:spacing w:after="40" w:before="40" w:line="300"/>
        <w:ind w:left="420" w:hanging="420"/>
      </w:pPr>
      <w:r>
        <w:rPr>
          <w:rFonts w:ascii="宋体" w:cs="宋体" w:eastAsia="宋体" w:hAnsi="宋体"/>
          <w:sz w:val="18"/>
          <w:szCs w:val="18"/>
        </w:rPr>
        <w:t xml:space="preserve">[9] Raza M Z, Omais M, Arshad H M E, et al. Effectiveness of Brain-Computer Interface (BCI)-Based Attention Training Game System for Symptom Reduction, Behavioral Enhancement, and Brain Function Modulation in Children With ADHD: A Systematic Review and Single-Arm Meta-Analysis. NeuroRegulation, 2025, 12(1): 51–78.</w:t>
      </w:r>
    </w:p>
    <w:p>
      <w:pPr>
        <w:spacing w:after="40" w:before="40" w:line="300"/>
        <w:ind w:left="420" w:hanging="420"/>
      </w:pPr>
      <w:r>
        <w:rPr>
          <w:rFonts w:ascii="宋体" w:cs="宋体" w:eastAsia="宋体" w:hAnsi="宋体"/>
          <w:sz w:val="18"/>
          <w:szCs w:val="18"/>
        </w:rPr>
        <w:t xml:space="preserve">[10] Lin Z, Zhang C, Wu W, et al. Frequency recognition based on canonical correlation analysis for SSVEP-based BCIs. IEEE Transactions on Biomedical Engineering, 2006, 53(12): 2610–2614.</w:t>
      </w:r>
    </w:p>
    <w:p>
      <w:pPr>
        <w:spacing w:after="40" w:before="40" w:line="300"/>
        <w:ind w:left="420" w:hanging="420"/>
      </w:pPr>
      <w:r>
        <w:rPr>
          <w:rFonts w:ascii="宋体" w:cs="宋体" w:eastAsia="宋体" w:hAnsi="宋体"/>
          <w:sz w:val="18"/>
          <w:szCs w:val="18"/>
        </w:rPr>
        <w:t xml:space="preserve">[11] Chen X, Wang Y, Nakanishi M, et al. High-speed spelling with a noninvasive brain-computer interface. Proceedings of the National Academy of Sciences, 2015, 112(44): E6058–E6067.</w:t>
      </w:r>
    </w:p>
    <w:p>
      <w:pPr>
        <w:spacing w:after="40" w:before="40" w:line="300"/>
        <w:ind w:left="420" w:hanging="420"/>
      </w:pPr>
      <w:r>
        <w:rPr>
          <w:rFonts w:ascii="宋体" w:cs="宋体" w:eastAsia="宋体" w:hAnsi="宋体"/>
          <w:sz w:val="18"/>
          <w:szCs w:val="18"/>
        </w:rPr>
        <w:t xml:space="preserve">[12] Wei Q, Li C, Wang Y, et al. Enhancing the performance of SSVEP-based BCIs by combining task-related component analysis and deep neural network. Scientific Reports, 2025, 15: 365.</w:t>
      </w:r>
    </w:p>
    <w:p>
      <w:pPr>
        <w:spacing w:after="40" w:before="40" w:line="300"/>
        <w:ind w:left="420" w:hanging="420"/>
      </w:pPr>
      <w:r>
        <w:rPr>
          <w:rFonts w:ascii="宋体" w:cs="宋体" w:eastAsia="宋体" w:hAnsi="宋体"/>
          <w:sz w:val="18"/>
          <w:szCs w:val="18"/>
        </w:rPr>
        <w:t xml:space="preserve">[13] Chen R, Xu G, Zhang H, et al. A novel untrained SSVEP-EEG feature enhancement method using canonical correlation analysis and underdamped second-order stochastic resonance. Frontiers in Neuroscience, 2023, 17: 1246940.</w:t>
      </w:r>
    </w:p>
    <w:p>
      <w:pPr>
        <w:spacing w:after="40" w:before="40" w:line="300"/>
        <w:ind w:left="420" w:hanging="420"/>
      </w:pPr>
      <w:r>
        <w:rPr>
          <w:rFonts w:ascii="宋体" w:cs="宋体" w:eastAsia="宋体" w:hAnsi="宋体"/>
          <w:sz w:val="18"/>
          <w:szCs w:val="18"/>
        </w:rPr>
        <w:t xml:space="preserve">[14] Lim C G, Soh C P, Lim S S Y, et al. Home-based brain–computer interface attention training program for attention deficit hyperactivity disorder: a feasibility trial. Child and Adolescent Psychiatry and Mental Health, 2023, 17: 15.</w:t>
      </w:r>
    </w:p>
    <w:p>
      <w:pPr>
        <w:spacing w:after="40" w:before="40" w:line="300"/>
        <w:ind w:left="420" w:hanging="420"/>
      </w:pPr>
      <w:r>
        <w:rPr>
          <w:rFonts w:ascii="宋体" w:cs="宋体" w:eastAsia="宋体" w:hAnsi="宋体"/>
          <w:sz w:val="18"/>
          <w:szCs w:val="18"/>
        </w:rPr>
        <w:t xml:space="preserve">[15] Yan C, Liu Y, Zhao J, et al. Integrating single-channel EEG neurofeedback into video game-based digital therapeutics for ADHD. Journal of NeuroEngineering and Rehabilitation, 2026, 23: 124.</w:t>
      </w:r>
    </w:p>
    <w:p>
      <w:pPr>
        <w:spacing w:after="40" w:before="40" w:line="300"/>
        <w:ind w:left="420" w:hanging="420"/>
      </w:pPr>
      <w:r>
        <w:rPr>
          <w:rFonts w:ascii="宋体" w:cs="宋体" w:eastAsia="宋体" w:hAnsi="宋体"/>
          <w:sz w:val="18"/>
          <w:szCs w:val="18"/>
        </w:rPr>
        <w:t xml:space="preserve">[16] Kober S E, Wood G, Berger L M. Controlling Virtual Reality With Brain Signals: State of the Art of Using VR-Based Feedback in Neurofeedback Applications. Applied Psychophysiology and Biofeedback, 2025, 50: 593–612.</w:t>
      </w:r>
    </w:p>
    <w:sectPr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黑体" w:cs="黑体" w:eastAsia="黑体" w:hAnsi="黑体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黑体" w:cs="黑体" w:eastAsia="黑体" w:hAnsi="黑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066219c8ec52ec292ab894aacdf4aed78067595.png"/><Relationship Id="rId9" Type="http://schemas.openxmlformats.org/officeDocument/2006/relationships/image" Target="media/6d263ada0fff69a4620c235e3dc20b424901728d.png"/><Relationship Id="rId10" Type="http://schemas.openxmlformats.org/officeDocument/2006/relationships/image" Target="media/14ffd441a2b1f75a98c1df3aea5daf2f471944c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2026-04-25T06:18:40.073Z</dcterms:created>
  <dcterms:modified xsi:type="dcterms:W3CDTF">2026-04-25T06:18:40.074Z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