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3B52A">
      <w:pPr>
        <w:jc w:val="center"/>
        <w:rPr>
          <w:rFonts w:eastAsia="黑体"/>
          <w:sz w:val="44"/>
          <w:szCs w:val="44"/>
        </w:rPr>
      </w:pPr>
    </w:p>
    <w:p w14:paraId="11E3F98E">
      <w:pPr>
        <w:jc w:val="center"/>
        <w:rPr>
          <w:rFonts w:eastAsia="黑体"/>
          <w:sz w:val="44"/>
          <w:szCs w:val="44"/>
        </w:rPr>
      </w:pPr>
    </w:p>
    <w:p w14:paraId="60757D94">
      <w:pPr>
        <w:jc w:val="center"/>
        <w:rPr>
          <w:rFonts w:eastAsia="黑体"/>
          <w:sz w:val="44"/>
          <w:szCs w:val="44"/>
        </w:rPr>
      </w:pPr>
    </w:p>
    <w:p w14:paraId="72E9BFE1">
      <w:pPr>
        <w:jc w:val="center"/>
        <w:rPr>
          <w:rFonts w:hint="eastAsia" w:ascii="黑体" w:hAnsi="黑体" w:eastAsia="黑体" w:cs="黑体"/>
          <w:sz w:val="44"/>
          <w:szCs w:val="44"/>
        </w:rPr>
      </w:pPr>
      <w:r>
        <w:rPr>
          <w:rFonts w:hint="eastAsia" w:ascii="黑体" w:hAnsi="黑体" w:eastAsia="黑体" w:cs="黑体"/>
          <w:color w:val="000000"/>
          <w:kern w:val="0"/>
          <w:sz w:val="44"/>
          <w:szCs w:val="44"/>
          <w:lang w:bidi="ar"/>
        </w:rPr>
        <w:t>基于稳态视觉诱发电位的注意功能障碍闭环神经反馈干预系统</w:t>
      </w:r>
    </w:p>
    <w:p w14:paraId="0C7320B7">
      <w:pPr>
        <w:jc w:val="center"/>
      </w:pPr>
    </w:p>
    <w:p w14:paraId="37BAB744">
      <w:pPr>
        <w:jc w:val="center"/>
      </w:pPr>
    </w:p>
    <w:p w14:paraId="11157AAE">
      <w:pPr>
        <w:jc w:val="center"/>
      </w:pPr>
    </w:p>
    <w:p w14:paraId="001029ED">
      <w:pPr>
        <w:jc w:val="center"/>
      </w:pPr>
    </w:p>
    <w:p w14:paraId="07250BDE">
      <w:pPr>
        <w:jc w:val="center"/>
      </w:pPr>
    </w:p>
    <w:p w14:paraId="334501EB">
      <w:pPr>
        <w:jc w:val="center"/>
      </w:pPr>
    </w:p>
    <w:p w14:paraId="79675354">
      <w:pPr>
        <w:jc w:val="center"/>
      </w:pPr>
      <w:r>
        <w:rPr>
          <w:rFonts w:hint="eastAsia"/>
        </w:rPr>
        <w:drawing>
          <wp:inline distT="0" distB="0" distL="114300" distR="114300">
            <wp:extent cx="1208405" cy="1208405"/>
            <wp:effectExtent l="0" t="0" r="10795" b="10795"/>
            <wp:docPr id="1" name="图片 1" descr="3d2d539ee2d13ce94278bf441bf3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d2d539ee2d13ce94278bf441bf3316"/>
                    <pic:cNvPicPr>
                      <a:picLocks noChangeAspect="1"/>
                    </pic:cNvPicPr>
                  </pic:nvPicPr>
                  <pic:blipFill>
                    <a:blip r:embed="rId12"/>
                    <a:stretch>
                      <a:fillRect/>
                    </a:stretch>
                  </pic:blipFill>
                  <pic:spPr>
                    <a:xfrm>
                      <a:off x="0" y="0"/>
                      <a:ext cx="1208405" cy="1208405"/>
                    </a:xfrm>
                    <a:prstGeom prst="rect">
                      <a:avLst/>
                    </a:prstGeom>
                  </pic:spPr>
                </pic:pic>
              </a:graphicData>
            </a:graphic>
          </wp:inline>
        </w:drawing>
      </w:r>
      <w:r>
        <w:rPr>
          <w:rFonts w:hint="eastAsia"/>
        </w:rPr>
        <w:t xml:space="preserve">   </w:t>
      </w:r>
    </w:p>
    <w:p w14:paraId="0BF4A5AB">
      <w:pPr>
        <w:ind w:right="17"/>
        <w:rPr>
          <w:rFonts w:eastAsia="黑体"/>
          <w:sz w:val="32"/>
        </w:rPr>
      </w:pPr>
    </w:p>
    <w:p w14:paraId="4384572E">
      <w:pPr>
        <w:ind w:right="17" w:firstLine="2160"/>
        <w:rPr>
          <w:rFonts w:eastAsia="黑体"/>
          <w:sz w:val="32"/>
        </w:rPr>
      </w:pPr>
    </w:p>
    <w:p w14:paraId="4711532E">
      <w:pPr>
        <w:wordWrap w:val="0"/>
        <w:ind w:left="1680" w:firstLine="420"/>
        <w:rPr>
          <w:rFonts w:hint="default" w:eastAsia="黑体"/>
          <w:bCs/>
          <w:sz w:val="32"/>
          <w:szCs w:val="32"/>
          <w:lang w:val="en-US" w:eastAsia="zh-CN"/>
        </w:rPr>
      </w:pPr>
      <w:r>
        <w:rPr>
          <w:rFonts w:eastAsia="黑体"/>
          <w:bCs/>
          <w:sz w:val="32"/>
          <w:szCs w:val="32"/>
        </w:rPr>
        <w:t xml:space="preserve">作品ID号: </w:t>
      </w:r>
      <w:r>
        <w:rPr>
          <w:rFonts w:hint="eastAsia" w:eastAsia="黑体"/>
          <w:bCs/>
          <w:sz w:val="32"/>
          <w:szCs w:val="32"/>
          <w:lang w:val="en-US" w:eastAsia="zh-CN"/>
        </w:rPr>
        <w:t>2552</w:t>
      </w:r>
    </w:p>
    <w:p w14:paraId="7EB0F2E2">
      <w:pPr>
        <w:wordWrap w:val="0"/>
        <w:ind w:left="1680" w:firstLine="420"/>
        <w:rPr>
          <w:rFonts w:eastAsia="黑体"/>
          <w:bCs/>
          <w:sz w:val="32"/>
          <w:szCs w:val="32"/>
        </w:rPr>
      </w:pPr>
      <w:r>
        <w:rPr>
          <w:rFonts w:hint="eastAsia" w:eastAsia="黑体"/>
          <w:bCs/>
          <w:sz w:val="32"/>
          <w:szCs w:val="32"/>
        </w:rPr>
        <w:t>参赛学生类型</w:t>
      </w:r>
      <w:r>
        <w:rPr>
          <w:rFonts w:eastAsia="黑体"/>
          <w:bCs/>
          <w:sz w:val="32"/>
          <w:szCs w:val="32"/>
        </w:rPr>
        <w:t>：本科</w:t>
      </w:r>
      <w:r>
        <w:rPr>
          <w:rFonts w:hint="eastAsia" w:eastAsia="黑体"/>
          <w:bCs/>
          <w:sz w:val="32"/>
          <w:szCs w:val="32"/>
        </w:rPr>
        <w:t>生</w:t>
      </w:r>
    </w:p>
    <w:p w14:paraId="6562CCDF">
      <w:pPr>
        <w:wordWrap w:val="0"/>
        <w:ind w:left="1680" w:firstLine="420"/>
        <w:rPr>
          <w:rFonts w:eastAsia="黑体"/>
          <w:bCs/>
          <w:sz w:val="32"/>
          <w:szCs w:val="32"/>
        </w:rPr>
      </w:pPr>
      <w:r>
        <w:rPr>
          <w:rFonts w:hint="eastAsia" w:eastAsia="黑体"/>
          <w:bCs/>
          <w:sz w:val="32"/>
          <w:szCs w:val="32"/>
        </w:rPr>
        <w:t>参加赛道</w:t>
      </w:r>
      <w:r>
        <w:rPr>
          <w:rFonts w:eastAsia="黑体"/>
          <w:bCs/>
          <w:sz w:val="32"/>
          <w:szCs w:val="32"/>
        </w:rPr>
        <w:t>：</w:t>
      </w:r>
      <w:r>
        <w:rPr>
          <w:rFonts w:hint="eastAsia" w:eastAsia="黑体"/>
          <w:bCs/>
          <w:sz w:val="32"/>
          <w:szCs w:val="32"/>
          <w:lang w:val="en-US" w:eastAsia="zh-CN"/>
        </w:rPr>
        <w:t>脑机接口</w:t>
      </w:r>
    </w:p>
    <w:p w14:paraId="1A5A821F">
      <w:pPr>
        <w:wordWrap w:val="0"/>
        <w:ind w:left="1680" w:firstLine="420"/>
        <w:rPr>
          <w:rFonts w:eastAsia="黑体"/>
          <w:bCs/>
          <w:sz w:val="32"/>
          <w:szCs w:val="32"/>
        </w:rPr>
      </w:pPr>
      <w:r>
        <w:rPr>
          <w:rFonts w:eastAsia="黑体"/>
          <w:bCs/>
          <w:sz w:val="32"/>
          <w:szCs w:val="32"/>
        </w:rPr>
        <w:t>组别：命题项目组</w:t>
      </w:r>
    </w:p>
    <w:p w14:paraId="1D3EA373">
      <w:pPr>
        <w:wordWrap w:val="0"/>
        <w:ind w:left="1680" w:firstLine="420"/>
        <w:rPr>
          <w:rFonts w:eastAsia="黑体"/>
          <w:bCs/>
          <w:sz w:val="32"/>
          <w:szCs w:val="32"/>
        </w:rPr>
      </w:pPr>
    </w:p>
    <w:p w14:paraId="0711317F">
      <w:pPr>
        <w:spacing w:before="240"/>
        <w:jc w:val="center"/>
        <w:rPr>
          <w:sz w:val="32"/>
          <w:szCs w:val="32"/>
        </w:rPr>
      </w:pPr>
      <w:r>
        <w:rPr>
          <w:rFonts w:eastAsia="黑体"/>
          <w:sz w:val="32"/>
          <w:szCs w:val="32"/>
        </w:rPr>
        <w:t>20</w:t>
      </w:r>
      <w:r>
        <w:rPr>
          <w:rFonts w:hint="eastAsia" w:eastAsia="黑体"/>
          <w:sz w:val="32"/>
          <w:szCs w:val="32"/>
          <w:lang w:val="en-US" w:eastAsia="zh-CN"/>
        </w:rPr>
        <w:t>26</w:t>
      </w:r>
      <w:r>
        <w:rPr>
          <w:rFonts w:eastAsia="黑体"/>
          <w:sz w:val="32"/>
          <w:szCs w:val="32"/>
        </w:rPr>
        <w:t>年</w:t>
      </w:r>
      <w:r>
        <w:rPr>
          <w:rFonts w:hint="eastAsia" w:eastAsia="黑体"/>
          <w:sz w:val="32"/>
          <w:szCs w:val="32"/>
          <w:lang w:val="en-US" w:eastAsia="zh-CN"/>
        </w:rPr>
        <w:t>6</w:t>
      </w:r>
      <w:r>
        <w:rPr>
          <w:rFonts w:eastAsia="黑体"/>
          <w:sz w:val="32"/>
          <w:szCs w:val="32"/>
        </w:rPr>
        <w:t>月</w:t>
      </w:r>
    </w:p>
    <w:p w14:paraId="39A489E3">
      <w:pPr>
        <w:wordWrap w:val="0"/>
        <w:spacing w:line="300" w:lineRule="auto"/>
      </w:pPr>
    </w:p>
    <w:p w14:paraId="784A9E81">
      <w:pPr>
        <w:wordWrap w:val="0"/>
        <w:spacing w:line="300" w:lineRule="auto"/>
        <w:jc w:val="center"/>
        <w:rPr>
          <w:szCs w:val="21"/>
        </w:rPr>
      </w:pPr>
    </w:p>
    <w:p w14:paraId="61AFC148">
      <w:pPr>
        <w:jc w:val="center"/>
        <w:rPr>
          <w:rFonts w:hint="eastAsia" w:ascii="黑体" w:hAnsi="黑体" w:eastAsia="黑体"/>
          <w:sz w:val="32"/>
          <w:szCs w:val="32"/>
        </w:rPr>
      </w:pPr>
    </w:p>
    <w:p w14:paraId="2E96E244">
      <w:pPr>
        <w:jc w:val="center"/>
        <w:rPr>
          <w:rFonts w:hint="eastAsia" w:ascii="黑体" w:hAnsi="黑体" w:eastAsia="黑体"/>
          <w:sz w:val="32"/>
          <w:szCs w:val="32"/>
        </w:rPr>
      </w:pPr>
      <w:r>
        <w:rPr>
          <w:rFonts w:hint="eastAsia" w:ascii="黑体" w:hAnsi="黑体" w:eastAsia="黑体"/>
          <w:sz w:val="32"/>
          <w:szCs w:val="32"/>
        </w:rPr>
        <w:t>内容完整性自查表</w:t>
      </w:r>
    </w:p>
    <w:p w14:paraId="6D730EE3">
      <w:pPr>
        <w:rPr>
          <w:rFonts w:hint="eastAsia" w:ascii="宋体" w:hAnsi="宋体"/>
          <w:sz w:val="24"/>
        </w:rPr>
      </w:pPr>
    </w:p>
    <w:p w14:paraId="720EFF8A">
      <w:pPr>
        <w:ind w:firstLine="482" w:firstLineChars="200"/>
        <w:rPr>
          <w:rFonts w:hint="eastAsia" w:ascii="宋体" w:hAnsi="宋体"/>
          <w:b/>
          <w:bCs/>
          <w:sz w:val="24"/>
        </w:rPr>
      </w:pPr>
      <w:r>
        <w:rPr>
          <w:rFonts w:hint="eastAsia" w:ascii="宋体" w:hAnsi="宋体"/>
          <w:b/>
          <w:bCs/>
          <w:sz w:val="24"/>
        </w:rPr>
        <w:t>说明：</w:t>
      </w:r>
    </w:p>
    <w:p w14:paraId="446E52AF">
      <w:pPr>
        <w:numPr>
          <w:ilvl w:val="0"/>
          <w:numId w:val="1"/>
        </w:numPr>
        <w:ind w:firstLine="482" w:firstLineChars="200"/>
        <w:rPr>
          <w:rFonts w:hint="eastAsia" w:ascii="宋体" w:hAnsi="宋体"/>
          <w:b/>
          <w:bCs/>
          <w:sz w:val="24"/>
        </w:rPr>
      </w:pPr>
      <w:r>
        <w:rPr>
          <w:rFonts w:hint="eastAsia" w:ascii="宋体" w:hAnsi="宋体"/>
          <w:b/>
          <w:bCs/>
          <w:sz w:val="24"/>
        </w:rPr>
        <w:t>命题组参赛作品请根据命题文件规定或要求的指标填写；</w:t>
      </w:r>
    </w:p>
    <w:p w14:paraId="5766DFA9">
      <w:pPr>
        <w:numPr>
          <w:ilvl w:val="0"/>
          <w:numId w:val="1"/>
        </w:numPr>
        <w:ind w:firstLine="482" w:firstLineChars="200"/>
        <w:rPr>
          <w:rFonts w:hint="eastAsia" w:ascii="宋体" w:hAnsi="宋体"/>
          <w:b/>
          <w:bCs/>
          <w:sz w:val="24"/>
        </w:rPr>
      </w:pPr>
      <w:r>
        <w:rPr>
          <w:rFonts w:hint="eastAsia" w:ascii="宋体" w:hAnsi="宋体"/>
          <w:b/>
          <w:bCs/>
          <w:sz w:val="24"/>
        </w:rPr>
        <w:t>自选组参赛作品请根据实际参赛作品完成情况填写。</w:t>
      </w:r>
    </w:p>
    <w:p w14:paraId="209F394D">
      <w:pPr>
        <w:rPr>
          <w:rFonts w:hint="eastAsia" w:ascii="宋体" w:hAnsi="宋体"/>
          <w:sz w:val="24"/>
        </w:rPr>
      </w:pPr>
    </w:p>
    <w:tbl>
      <w:tblPr>
        <w:tblStyle w:val="17"/>
        <w:tblW w:w="83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2507"/>
        <w:gridCol w:w="2627"/>
        <w:gridCol w:w="1818"/>
      </w:tblGrid>
      <w:tr w14:paraId="35454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2" w:hRule="atLeast"/>
        </w:trPr>
        <w:tc>
          <w:tcPr>
            <w:tcW w:w="1382" w:type="dxa"/>
            <w:vAlign w:val="center"/>
          </w:tcPr>
          <w:p w14:paraId="17660FD3">
            <w:pPr>
              <w:jc w:val="center"/>
              <w:rPr>
                <w:rFonts w:hint="eastAsia" w:ascii="宋体" w:hAnsi="宋体"/>
                <w:b/>
                <w:bCs/>
                <w:sz w:val="24"/>
              </w:rPr>
            </w:pPr>
            <w:r>
              <w:rPr>
                <w:rFonts w:hint="eastAsia" w:ascii="宋体" w:hAnsi="宋体"/>
                <w:b/>
                <w:bCs/>
                <w:sz w:val="24"/>
              </w:rPr>
              <w:t xml:space="preserve">完整性 </w:t>
            </w:r>
            <w:r>
              <w:rPr>
                <w:rFonts w:ascii="宋体" w:hAnsi="宋体"/>
                <w:b/>
                <w:bCs/>
                <w:sz w:val="24"/>
              </w:rPr>
              <w:t xml:space="preserve"> </w:t>
            </w:r>
            <w:r>
              <w:rPr>
                <w:rFonts w:hint="eastAsia" w:ascii="宋体" w:hAnsi="宋体"/>
                <w:b/>
                <w:bCs/>
                <w:sz w:val="24"/>
              </w:rPr>
              <w:t>类别</w:t>
            </w:r>
          </w:p>
        </w:tc>
        <w:tc>
          <w:tcPr>
            <w:tcW w:w="2507" w:type="dxa"/>
            <w:vAlign w:val="center"/>
          </w:tcPr>
          <w:p w14:paraId="4179C4C1">
            <w:pPr>
              <w:jc w:val="center"/>
              <w:rPr>
                <w:rFonts w:hint="eastAsia" w:ascii="宋体" w:hAnsi="宋体"/>
                <w:b/>
                <w:bCs/>
                <w:sz w:val="24"/>
              </w:rPr>
            </w:pPr>
            <w:r>
              <w:rPr>
                <w:rFonts w:hint="eastAsia" w:ascii="宋体" w:hAnsi="宋体"/>
                <w:b/>
                <w:bCs/>
                <w:sz w:val="24"/>
              </w:rPr>
              <w:t>任务或技术指标名称</w:t>
            </w:r>
          </w:p>
        </w:tc>
        <w:tc>
          <w:tcPr>
            <w:tcW w:w="2627" w:type="dxa"/>
            <w:vAlign w:val="center"/>
          </w:tcPr>
          <w:p w14:paraId="777DF54E">
            <w:pPr>
              <w:jc w:val="center"/>
              <w:rPr>
                <w:rFonts w:hint="eastAsia" w:ascii="宋体" w:hAnsi="宋体"/>
                <w:b/>
                <w:bCs/>
                <w:sz w:val="24"/>
              </w:rPr>
            </w:pPr>
            <w:r>
              <w:rPr>
                <w:rFonts w:hint="eastAsia" w:ascii="宋体" w:hAnsi="宋体"/>
                <w:b/>
                <w:bCs/>
                <w:sz w:val="24"/>
              </w:rPr>
              <w:t>完成效果</w:t>
            </w:r>
          </w:p>
        </w:tc>
        <w:tc>
          <w:tcPr>
            <w:tcW w:w="1818" w:type="dxa"/>
            <w:vAlign w:val="center"/>
          </w:tcPr>
          <w:p w14:paraId="36389F55">
            <w:pPr>
              <w:jc w:val="center"/>
              <w:rPr>
                <w:rFonts w:hint="eastAsia" w:ascii="宋体" w:hAnsi="宋体"/>
                <w:b/>
                <w:bCs/>
                <w:sz w:val="24"/>
              </w:rPr>
            </w:pPr>
            <w:r>
              <w:rPr>
                <w:rFonts w:hint="eastAsia" w:ascii="宋体" w:hAnsi="宋体"/>
                <w:b/>
                <w:bCs/>
                <w:sz w:val="24"/>
              </w:rPr>
              <w:t xml:space="preserve">呈现方式 </w:t>
            </w:r>
            <w:r>
              <w:rPr>
                <w:rFonts w:ascii="宋体" w:hAnsi="宋体"/>
                <w:b/>
                <w:bCs/>
                <w:sz w:val="24"/>
              </w:rPr>
              <w:t xml:space="preserve">   </w:t>
            </w:r>
            <w:r>
              <w:rPr>
                <w:rFonts w:hint="eastAsia" w:ascii="宋体" w:hAnsi="宋体"/>
                <w:b/>
                <w:bCs/>
                <w:sz w:val="24"/>
              </w:rPr>
              <w:t>（报告中的章节、页码，或者测试报告，或实物、视频等）</w:t>
            </w:r>
          </w:p>
        </w:tc>
      </w:tr>
      <w:tr w14:paraId="679C1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382" w:type="dxa"/>
            <w:vMerge w:val="restart"/>
            <w:vAlign w:val="center"/>
          </w:tcPr>
          <w:p w14:paraId="3E8A50CB">
            <w:pPr>
              <w:jc w:val="center"/>
              <w:rPr>
                <w:rFonts w:hint="eastAsia" w:ascii="宋体" w:hAnsi="宋体"/>
                <w:b/>
                <w:bCs/>
                <w:sz w:val="24"/>
              </w:rPr>
            </w:pPr>
            <w:r>
              <w:rPr>
                <w:rFonts w:hint="eastAsia" w:ascii="宋体" w:hAnsi="宋体"/>
                <w:b/>
                <w:bCs/>
                <w:sz w:val="24"/>
              </w:rPr>
              <w:t>参赛作品任务或技术指标要求</w:t>
            </w:r>
          </w:p>
        </w:tc>
        <w:tc>
          <w:tcPr>
            <w:tcW w:w="2507" w:type="dxa"/>
            <w:vAlign w:val="center"/>
          </w:tcPr>
          <w:p w14:paraId="5B4A6206">
            <w:pPr>
              <w:pStyle w:val="13"/>
              <w:keepNext w:val="0"/>
              <w:keepLines w:val="0"/>
              <w:widowControl/>
              <w:suppressLineNumbers w:val="0"/>
              <w:spacing w:line="240" w:lineRule="auto"/>
              <w:ind w:left="0" w:firstLine="0"/>
              <w:textAlignment w:val="center"/>
              <w:rPr>
                <w:rFonts w:hint="eastAsia" w:ascii="宋体" w:hAnsi="宋体"/>
                <w:sz w:val="24"/>
              </w:rPr>
            </w:pPr>
            <w:r>
              <w:rPr>
                <w:rFonts w:hint="eastAsia" w:ascii="宋体" w:hAnsi="宋体" w:eastAsia="宋体" w:cs="宋体"/>
                <w:color w:val="000000"/>
                <w:spacing w:val="0"/>
                <w:position w:val="0"/>
                <w:sz w:val="24"/>
                <w:szCs w:val="24"/>
              </w:rPr>
              <w:t>选题意义</w:t>
            </w:r>
          </w:p>
        </w:tc>
        <w:tc>
          <w:tcPr>
            <w:tcW w:w="2627" w:type="dxa"/>
            <w:vAlign w:val="center"/>
          </w:tcPr>
          <w:p w14:paraId="4F9F57B2">
            <w:pPr>
              <w:jc w:val="center"/>
              <w:rPr>
                <w:rFonts w:hint="eastAsia" w:ascii="宋体" w:hAnsi="宋体"/>
                <w:sz w:val="24"/>
              </w:rPr>
            </w:pPr>
          </w:p>
        </w:tc>
        <w:tc>
          <w:tcPr>
            <w:tcW w:w="1818" w:type="dxa"/>
            <w:vAlign w:val="center"/>
          </w:tcPr>
          <w:p w14:paraId="2EF42780">
            <w:pPr>
              <w:jc w:val="center"/>
              <w:rPr>
                <w:rFonts w:hint="eastAsia" w:ascii="宋体" w:hAnsi="宋体"/>
                <w:sz w:val="24"/>
              </w:rPr>
            </w:pPr>
          </w:p>
        </w:tc>
      </w:tr>
      <w:tr w14:paraId="47642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1382" w:type="dxa"/>
            <w:vMerge w:val="continue"/>
            <w:vAlign w:val="center"/>
          </w:tcPr>
          <w:p w14:paraId="6A7F2F69">
            <w:pPr>
              <w:jc w:val="center"/>
              <w:rPr>
                <w:rFonts w:hint="eastAsia" w:ascii="宋体" w:hAnsi="宋体"/>
                <w:b/>
                <w:bCs/>
                <w:sz w:val="24"/>
              </w:rPr>
            </w:pPr>
          </w:p>
        </w:tc>
        <w:tc>
          <w:tcPr>
            <w:tcW w:w="2507" w:type="dxa"/>
            <w:vAlign w:val="center"/>
          </w:tcPr>
          <w:p w14:paraId="2C4ABB58">
            <w:pPr>
              <w:pStyle w:val="13"/>
              <w:keepNext w:val="0"/>
              <w:keepLines w:val="0"/>
              <w:widowControl/>
              <w:suppressLineNumbers w:val="0"/>
              <w:spacing w:line="240" w:lineRule="auto"/>
              <w:ind w:left="0" w:firstLine="0"/>
              <w:textAlignment w:val="center"/>
              <w:rPr>
                <w:rFonts w:hint="eastAsia" w:ascii="宋体" w:hAnsi="宋体"/>
                <w:sz w:val="24"/>
              </w:rPr>
            </w:pPr>
            <w:r>
              <w:rPr>
                <w:rFonts w:hint="eastAsia" w:ascii="宋体" w:hAnsi="宋体" w:eastAsia="宋体" w:cs="宋体"/>
                <w:color w:val="000000"/>
                <w:spacing w:val="0"/>
                <w:position w:val="0"/>
                <w:sz w:val="24"/>
                <w:szCs w:val="24"/>
              </w:rPr>
              <w:t>作品创新性</w:t>
            </w:r>
          </w:p>
        </w:tc>
        <w:tc>
          <w:tcPr>
            <w:tcW w:w="2627" w:type="dxa"/>
            <w:vAlign w:val="center"/>
          </w:tcPr>
          <w:p w14:paraId="4A01DD89">
            <w:pPr>
              <w:jc w:val="center"/>
              <w:rPr>
                <w:rFonts w:hint="eastAsia" w:ascii="宋体" w:hAnsi="宋体"/>
                <w:sz w:val="24"/>
              </w:rPr>
            </w:pPr>
          </w:p>
        </w:tc>
        <w:tc>
          <w:tcPr>
            <w:tcW w:w="1818" w:type="dxa"/>
            <w:vAlign w:val="center"/>
          </w:tcPr>
          <w:p w14:paraId="449C9DF2">
            <w:pPr>
              <w:jc w:val="center"/>
              <w:rPr>
                <w:rFonts w:hint="eastAsia" w:ascii="宋体" w:hAnsi="宋体"/>
                <w:sz w:val="24"/>
              </w:rPr>
            </w:pPr>
          </w:p>
        </w:tc>
      </w:tr>
      <w:tr w14:paraId="5C179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1382" w:type="dxa"/>
            <w:vMerge w:val="continue"/>
            <w:vAlign w:val="center"/>
          </w:tcPr>
          <w:p w14:paraId="68B3C5D5">
            <w:pPr>
              <w:jc w:val="center"/>
              <w:rPr>
                <w:rFonts w:hint="eastAsia" w:ascii="宋体" w:hAnsi="宋体"/>
                <w:b/>
                <w:bCs/>
                <w:sz w:val="24"/>
              </w:rPr>
            </w:pPr>
          </w:p>
        </w:tc>
        <w:tc>
          <w:tcPr>
            <w:tcW w:w="2507" w:type="dxa"/>
            <w:vAlign w:val="center"/>
          </w:tcPr>
          <w:p w14:paraId="6DC7216A">
            <w:pPr>
              <w:pStyle w:val="13"/>
              <w:keepNext w:val="0"/>
              <w:keepLines w:val="0"/>
              <w:widowControl/>
              <w:suppressLineNumbers w:val="0"/>
              <w:spacing w:line="240" w:lineRule="auto"/>
              <w:ind w:left="0" w:firstLine="0"/>
              <w:textAlignment w:val="center"/>
              <w:rPr>
                <w:rFonts w:hint="eastAsia" w:ascii="宋体" w:hAnsi="宋体"/>
                <w:sz w:val="24"/>
              </w:rPr>
            </w:pPr>
            <w:r>
              <w:rPr>
                <w:rFonts w:hint="eastAsia" w:ascii="宋体" w:hAnsi="宋体" w:eastAsia="宋体" w:cs="宋体"/>
                <w:color w:val="000000"/>
                <w:spacing w:val="0"/>
                <w:position w:val="0"/>
                <w:sz w:val="24"/>
                <w:szCs w:val="24"/>
              </w:rPr>
              <w:t>作品完整性和规范性</w:t>
            </w:r>
          </w:p>
        </w:tc>
        <w:tc>
          <w:tcPr>
            <w:tcW w:w="2627" w:type="dxa"/>
            <w:vAlign w:val="center"/>
          </w:tcPr>
          <w:p w14:paraId="0E322EB3">
            <w:pPr>
              <w:jc w:val="center"/>
              <w:rPr>
                <w:rFonts w:hint="eastAsia" w:ascii="宋体" w:hAnsi="宋体"/>
                <w:sz w:val="24"/>
              </w:rPr>
            </w:pPr>
          </w:p>
        </w:tc>
        <w:tc>
          <w:tcPr>
            <w:tcW w:w="1818" w:type="dxa"/>
            <w:vAlign w:val="center"/>
          </w:tcPr>
          <w:p w14:paraId="36364C3D">
            <w:pPr>
              <w:jc w:val="center"/>
              <w:rPr>
                <w:rFonts w:hint="eastAsia" w:ascii="宋体" w:hAnsi="宋体"/>
                <w:sz w:val="24"/>
              </w:rPr>
            </w:pPr>
          </w:p>
        </w:tc>
      </w:tr>
      <w:tr w14:paraId="3A526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1382" w:type="dxa"/>
            <w:vMerge w:val="continue"/>
            <w:vAlign w:val="center"/>
          </w:tcPr>
          <w:p w14:paraId="10172834">
            <w:pPr>
              <w:jc w:val="center"/>
              <w:rPr>
                <w:rFonts w:hint="eastAsia" w:ascii="宋体" w:hAnsi="宋体"/>
                <w:b/>
                <w:bCs/>
                <w:sz w:val="24"/>
              </w:rPr>
            </w:pPr>
          </w:p>
        </w:tc>
        <w:tc>
          <w:tcPr>
            <w:tcW w:w="2507" w:type="dxa"/>
            <w:vAlign w:val="center"/>
          </w:tcPr>
          <w:p w14:paraId="636DFCB3">
            <w:pPr>
              <w:jc w:val="center"/>
              <w:rPr>
                <w:rFonts w:hint="eastAsia" w:ascii="宋体" w:hAnsi="宋体"/>
                <w:sz w:val="24"/>
              </w:rPr>
            </w:pPr>
          </w:p>
        </w:tc>
        <w:tc>
          <w:tcPr>
            <w:tcW w:w="2627" w:type="dxa"/>
            <w:vAlign w:val="center"/>
          </w:tcPr>
          <w:p w14:paraId="0D844682">
            <w:pPr>
              <w:jc w:val="center"/>
              <w:rPr>
                <w:rFonts w:hint="eastAsia" w:ascii="宋体" w:hAnsi="宋体"/>
                <w:sz w:val="24"/>
              </w:rPr>
            </w:pPr>
          </w:p>
        </w:tc>
        <w:tc>
          <w:tcPr>
            <w:tcW w:w="1818" w:type="dxa"/>
            <w:vAlign w:val="center"/>
          </w:tcPr>
          <w:p w14:paraId="269196C9">
            <w:pPr>
              <w:jc w:val="center"/>
              <w:rPr>
                <w:rFonts w:hint="eastAsia" w:ascii="宋体" w:hAnsi="宋体"/>
                <w:sz w:val="24"/>
              </w:rPr>
            </w:pPr>
          </w:p>
        </w:tc>
      </w:tr>
      <w:tr w14:paraId="1D7A4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382" w:type="dxa"/>
            <w:vMerge w:val="continue"/>
            <w:vAlign w:val="center"/>
          </w:tcPr>
          <w:p w14:paraId="056ACCD8">
            <w:pPr>
              <w:jc w:val="center"/>
              <w:rPr>
                <w:rFonts w:hint="eastAsia" w:ascii="宋体" w:hAnsi="宋体"/>
                <w:b/>
                <w:bCs/>
                <w:sz w:val="24"/>
              </w:rPr>
            </w:pPr>
          </w:p>
        </w:tc>
        <w:tc>
          <w:tcPr>
            <w:tcW w:w="2507" w:type="dxa"/>
            <w:vAlign w:val="center"/>
          </w:tcPr>
          <w:p w14:paraId="6D412B18">
            <w:pPr>
              <w:jc w:val="center"/>
              <w:rPr>
                <w:rFonts w:hint="eastAsia" w:ascii="宋体" w:hAnsi="宋体"/>
                <w:sz w:val="24"/>
              </w:rPr>
            </w:pPr>
          </w:p>
        </w:tc>
        <w:tc>
          <w:tcPr>
            <w:tcW w:w="2627" w:type="dxa"/>
            <w:vAlign w:val="center"/>
          </w:tcPr>
          <w:p w14:paraId="781F337F">
            <w:pPr>
              <w:jc w:val="center"/>
              <w:rPr>
                <w:rFonts w:hint="eastAsia" w:ascii="宋体" w:hAnsi="宋体"/>
                <w:sz w:val="24"/>
              </w:rPr>
            </w:pPr>
          </w:p>
        </w:tc>
        <w:tc>
          <w:tcPr>
            <w:tcW w:w="1818" w:type="dxa"/>
            <w:vAlign w:val="center"/>
          </w:tcPr>
          <w:p w14:paraId="60079209">
            <w:pPr>
              <w:jc w:val="center"/>
              <w:rPr>
                <w:rFonts w:hint="eastAsia" w:ascii="宋体" w:hAnsi="宋体"/>
                <w:sz w:val="24"/>
              </w:rPr>
            </w:pPr>
          </w:p>
        </w:tc>
      </w:tr>
      <w:tr w14:paraId="02D16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1382" w:type="dxa"/>
            <w:vMerge w:val="continue"/>
            <w:vAlign w:val="center"/>
          </w:tcPr>
          <w:p w14:paraId="776A171D">
            <w:pPr>
              <w:jc w:val="center"/>
              <w:rPr>
                <w:rFonts w:hint="eastAsia" w:ascii="宋体" w:hAnsi="宋体"/>
                <w:b/>
                <w:bCs/>
                <w:sz w:val="24"/>
              </w:rPr>
            </w:pPr>
          </w:p>
        </w:tc>
        <w:tc>
          <w:tcPr>
            <w:tcW w:w="2507" w:type="dxa"/>
            <w:vAlign w:val="center"/>
          </w:tcPr>
          <w:p w14:paraId="3C05B17D">
            <w:pPr>
              <w:jc w:val="center"/>
              <w:rPr>
                <w:rFonts w:hint="eastAsia" w:ascii="宋体" w:hAnsi="宋体"/>
                <w:sz w:val="24"/>
              </w:rPr>
            </w:pPr>
          </w:p>
        </w:tc>
        <w:tc>
          <w:tcPr>
            <w:tcW w:w="2627" w:type="dxa"/>
            <w:vAlign w:val="center"/>
          </w:tcPr>
          <w:p w14:paraId="4176EF49">
            <w:pPr>
              <w:jc w:val="center"/>
              <w:rPr>
                <w:rFonts w:hint="eastAsia" w:ascii="宋体" w:hAnsi="宋体"/>
                <w:sz w:val="24"/>
              </w:rPr>
            </w:pPr>
          </w:p>
        </w:tc>
        <w:tc>
          <w:tcPr>
            <w:tcW w:w="1818" w:type="dxa"/>
            <w:vAlign w:val="center"/>
          </w:tcPr>
          <w:p w14:paraId="0AC6AC6C">
            <w:pPr>
              <w:jc w:val="center"/>
              <w:rPr>
                <w:rFonts w:hint="eastAsia" w:ascii="宋体" w:hAnsi="宋体"/>
                <w:sz w:val="24"/>
              </w:rPr>
            </w:pPr>
          </w:p>
        </w:tc>
      </w:tr>
      <w:tr w14:paraId="0B9B0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1382" w:type="dxa"/>
            <w:vMerge w:val="continue"/>
            <w:vAlign w:val="center"/>
          </w:tcPr>
          <w:p w14:paraId="36E02A22">
            <w:pPr>
              <w:jc w:val="center"/>
              <w:rPr>
                <w:rFonts w:hint="eastAsia" w:ascii="宋体" w:hAnsi="宋体"/>
                <w:b/>
                <w:bCs/>
                <w:sz w:val="24"/>
              </w:rPr>
            </w:pPr>
          </w:p>
        </w:tc>
        <w:tc>
          <w:tcPr>
            <w:tcW w:w="2507" w:type="dxa"/>
            <w:vAlign w:val="center"/>
          </w:tcPr>
          <w:p w14:paraId="50BD2728">
            <w:pPr>
              <w:jc w:val="center"/>
              <w:rPr>
                <w:rFonts w:hint="eastAsia" w:ascii="宋体" w:hAnsi="宋体"/>
                <w:sz w:val="24"/>
              </w:rPr>
            </w:pPr>
          </w:p>
        </w:tc>
        <w:tc>
          <w:tcPr>
            <w:tcW w:w="2627" w:type="dxa"/>
            <w:vAlign w:val="center"/>
          </w:tcPr>
          <w:p w14:paraId="0393FAFB">
            <w:pPr>
              <w:jc w:val="center"/>
              <w:rPr>
                <w:rFonts w:hint="eastAsia" w:ascii="宋体" w:hAnsi="宋体"/>
                <w:sz w:val="24"/>
              </w:rPr>
            </w:pPr>
          </w:p>
        </w:tc>
        <w:tc>
          <w:tcPr>
            <w:tcW w:w="1818" w:type="dxa"/>
            <w:vAlign w:val="center"/>
          </w:tcPr>
          <w:p w14:paraId="5F1033AB">
            <w:pPr>
              <w:jc w:val="center"/>
              <w:rPr>
                <w:rFonts w:hint="eastAsia" w:ascii="宋体" w:hAnsi="宋体"/>
                <w:sz w:val="24"/>
              </w:rPr>
            </w:pPr>
          </w:p>
        </w:tc>
      </w:tr>
      <w:tr w14:paraId="61C31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1382" w:type="dxa"/>
            <w:vMerge w:val="continue"/>
            <w:vAlign w:val="center"/>
          </w:tcPr>
          <w:p w14:paraId="549D6DBF">
            <w:pPr>
              <w:jc w:val="center"/>
              <w:rPr>
                <w:rFonts w:hint="eastAsia" w:ascii="宋体" w:hAnsi="宋体"/>
                <w:b/>
                <w:bCs/>
                <w:sz w:val="24"/>
              </w:rPr>
            </w:pPr>
          </w:p>
        </w:tc>
        <w:tc>
          <w:tcPr>
            <w:tcW w:w="2507" w:type="dxa"/>
            <w:vAlign w:val="center"/>
          </w:tcPr>
          <w:p w14:paraId="36880EEE">
            <w:pPr>
              <w:jc w:val="center"/>
              <w:rPr>
                <w:rFonts w:hint="eastAsia" w:ascii="宋体" w:hAnsi="宋体"/>
                <w:sz w:val="24"/>
              </w:rPr>
            </w:pPr>
          </w:p>
        </w:tc>
        <w:tc>
          <w:tcPr>
            <w:tcW w:w="2627" w:type="dxa"/>
            <w:vAlign w:val="center"/>
          </w:tcPr>
          <w:p w14:paraId="1CB1926F">
            <w:pPr>
              <w:jc w:val="center"/>
              <w:rPr>
                <w:rFonts w:hint="eastAsia" w:ascii="宋体" w:hAnsi="宋体"/>
                <w:sz w:val="24"/>
              </w:rPr>
            </w:pPr>
          </w:p>
        </w:tc>
        <w:tc>
          <w:tcPr>
            <w:tcW w:w="1818" w:type="dxa"/>
            <w:vAlign w:val="center"/>
          </w:tcPr>
          <w:p w14:paraId="634B7B39">
            <w:pPr>
              <w:jc w:val="center"/>
              <w:rPr>
                <w:rFonts w:hint="eastAsia" w:ascii="宋体" w:hAnsi="宋体"/>
                <w:sz w:val="24"/>
              </w:rPr>
            </w:pPr>
          </w:p>
        </w:tc>
      </w:tr>
      <w:tr w14:paraId="35348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1382" w:type="dxa"/>
            <w:vMerge w:val="continue"/>
            <w:vAlign w:val="center"/>
          </w:tcPr>
          <w:p w14:paraId="155B81D1">
            <w:pPr>
              <w:jc w:val="center"/>
              <w:rPr>
                <w:rFonts w:hint="eastAsia" w:ascii="宋体" w:hAnsi="宋体"/>
                <w:b/>
                <w:bCs/>
                <w:sz w:val="24"/>
              </w:rPr>
            </w:pPr>
          </w:p>
        </w:tc>
        <w:tc>
          <w:tcPr>
            <w:tcW w:w="2507" w:type="dxa"/>
            <w:vAlign w:val="center"/>
          </w:tcPr>
          <w:p w14:paraId="728FECD0">
            <w:pPr>
              <w:jc w:val="center"/>
              <w:rPr>
                <w:rFonts w:hint="eastAsia" w:ascii="宋体" w:hAnsi="宋体"/>
                <w:sz w:val="24"/>
              </w:rPr>
            </w:pPr>
          </w:p>
        </w:tc>
        <w:tc>
          <w:tcPr>
            <w:tcW w:w="2627" w:type="dxa"/>
            <w:vAlign w:val="center"/>
          </w:tcPr>
          <w:p w14:paraId="167CE91E">
            <w:pPr>
              <w:jc w:val="center"/>
              <w:rPr>
                <w:rFonts w:hint="eastAsia" w:ascii="宋体" w:hAnsi="宋体"/>
                <w:sz w:val="24"/>
              </w:rPr>
            </w:pPr>
          </w:p>
        </w:tc>
        <w:tc>
          <w:tcPr>
            <w:tcW w:w="1818" w:type="dxa"/>
            <w:vAlign w:val="center"/>
          </w:tcPr>
          <w:p w14:paraId="5107D99F">
            <w:pPr>
              <w:jc w:val="center"/>
              <w:rPr>
                <w:rFonts w:hint="eastAsia" w:ascii="宋体" w:hAnsi="宋体"/>
                <w:sz w:val="24"/>
              </w:rPr>
            </w:pPr>
          </w:p>
        </w:tc>
      </w:tr>
      <w:tr w14:paraId="45E67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382" w:type="dxa"/>
            <w:vAlign w:val="center"/>
          </w:tcPr>
          <w:p w14:paraId="3BDEEFF8">
            <w:pPr>
              <w:jc w:val="center"/>
              <w:rPr>
                <w:rFonts w:hint="eastAsia" w:ascii="宋体" w:hAnsi="宋体"/>
                <w:b/>
                <w:bCs/>
                <w:sz w:val="24"/>
              </w:rPr>
            </w:pPr>
            <w:r>
              <w:rPr>
                <w:rFonts w:hint="eastAsia" w:ascii="宋体" w:hAnsi="宋体"/>
                <w:b/>
                <w:bCs/>
                <w:sz w:val="24"/>
              </w:rPr>
              <w:t>其他</w:t>
            </w:r>
          </w:p>
        </w:tc>
        <w:tc>
          <w:tcPr>
            <w:tcW w:w="2507" w:type="dxa"/>
            <w:vAlign w:val="center"/>
          </w:tcPr>
          <w:p w14:paraId="72A8D68E">
            <w:pPr>
              <w:jc w:val="center"/>
              <w:rPr>
                <w:rFonts w:hint="eastAsia" w:ascii="宋体" w:hAnsi="宋体"/>
                <w:sz w:val="24"/>
              </w:rPr>
            </w:pPr>
          </w:p>
        </w:tc>
        <w:tc>
          <w:tcPr>
            <w:tcW w:w="2627" w:type="dxa"/>
            <w:vAlign w:val="center"/>
          </w:tcPr>
          <w:p w14:paraId="523C0124">
            <w:pPr>
              <w:jc w:val="center"/>
              <w:rPr>
                <w:rFonts w:hint="eastAsia" w:ascii="宋体" w:hAnsi="宋体"/>
                <w:sz w:val="24"/>
              </w:rPr>
            </w:pPr>
          </w:p>
        </w:tc>
        <w:tc>
          <w:tcPr>
            <w:tcW w:w="1818" w:type="dxa"/>
            <w:vAlign w:val="center"/>
          </w:tcPr>
          <w:p w14:paraId="6304B025">
            <w:pPr>
              <w:jc w:val="center"/>
              <w:rPr>
                <w:rFonts w:hint="eastAsia" w:ascii="宋体" w:hAnsi="宋体"/>
                <w:sz w:val="24"/>
              </w:rPr>
            </w:pPr>
          </w:p>
        </w:tc>
      </w:tr>
    </w:tbl>
    <w:p w14:paraId="352825DE">
      <w:pPr>
        <w:wordWrap w:val="0"/>
        <w:spacing w:line="300" w:lineRule="auto"/>
        <w:jc w:val="center"/>
      </w:pPr>
    </w:p>
    <w:p w14:paraId="604175EF">
      <w:pPr>
        <w:wordWrap w:val="0"/>
        <w:spacing w:line="300" w:lineRule="auto"/>
        <w:jc w:val="center"/>
        <w:sectPr>
          <w:headerReference r:id="rId3" w:type="first"/>
          <w:footerReference r:id="rId4" w:type="first"/>
          <w:pgSz w:w="11906" w:h="16838"/>
          <w:pgMar w:top="1440" w:right="1797" w:bottom="1440" w:left="1797" w:header="851" w:footer="992" w:gutter="0"/>
          <w:pgNumType w:fmt="upperRoman" w:start="1"/>
          <w:cols w:space="425" w:num="1"/>
          <w:docGrid w:type="lines" w:linePitch="312" w:charSpace="0"/>
        </w:sectPr>
      </w:pPr>
    </w:p>
    <w:p w14:paraId="4A564C2F">
      <w:pPr>
        <w:spacing w:line="400" w:lineRule="exact"/>
      </w:pPr>
    </w:p>
    <w:p w14:paraId="6BB5724D">
      <w:pPr>
        <w:spacing w:line="400" w:lineRule="exact"/>
        <w:jc w:val="center"/>
        <w:rPr>
          <w:rFonts w:ascii="黑体" w:eastAsia="黑体"/>
          <w:sz w:val="32"/>
        </w:rPr>
      </w:pPr>
      <w:r>
        <w:rPr>
          <w:rFonts w:hint="eastAsia" w:ascii="黑体" w:eastAsia="黑体"/>
          <w:sz w:val="32"/>
        </w:rPr>
        <w:t>摘    要</w:t>
      </w:r>
    </w:p>
    <w:p w14:paraId="2AEEDBE6">
      <w:pPr>
        <w:pStyle w:val="8"/>
        <w:spacing w:before="0" w:line="400" w:lineRule="exact"/>
        <w:ind w:firstLine="492"/>
        <w:rPr>
          <w:rFonts w:hint="eastAsia"/>
        </w:rPr>
      </w:pPr>
    </w:p>
    <w:p w14:paraId="2876DDFF">
      <w:pPr>
        <w:spacing w:line="400" w:lineRule="exact"/>
        <w:ind w:firstLine="480" w:firstLineChars="200"/>
        <w:rPr>
          <w:rFonts w:hint="eastAsia" w:ascii="ˎ̥" w:hAnsi="ˎ̥" w:cs="Arial"/>
          <w:sz w:val="24"/>
        </w:rPr>
      </w:pPr>
      <w:r>
        <w:rPr>
          <w:rFonts w:ascii="ˎ̥" w:hAnsi="ˎ̥" w:cs="Arial"/>
          <w:sz w:val="24"/>
        </w:rPr>
        <w:t>摘要是</w:t>
      </w:r>
      <w:r>
        <w:rPr>
          <w:rFonts w:hint="eastAsia" w:ascii="ˎ̥" w:hAnsi="ˎ̥" w:cs="Arial"/>
          <w:sz w:val="24"/>
        </w:rPr>
        <w:t>项目报告</w:t>
      </w:r>
      <w:r>
        <w:rPr>
          <w:rFonts w:ascii="ˎ̥" w:hAnsi="ˎ̥" w:cs="Arial"/>
          <w:sz w:val="24"/>
        </w:rPr>
        <w:t>不加注释和评论的简短陈述，应以第三人称陈述。它应具有独立性和自含性，即不阅读</w:t>
      </w:r>
      <w:r>
        <w:rPr>
          <w:rFonts w:hint="eastAsia" w:ascii="ˎ̥" w:hAnsi="ˎ̥" w:cs="Arial"/>
          <w:sz w:val="24"/>
        </w:rPr>
        <w:t>报告</w:t>
      </w:r>
      <w:r>
        <w:rPr>
          <w:rFonts w:ascii="ˎ̥" w:hAnsi="ˎ̥" w:cs="Arial"/>
          <w:sz w:val="24"/>
        </w:rPr>
        <w:t>的全文，就能获得必要的信息，摘要的内容应包含与</w:t>
      </w:r>
      <w:r>
        <w:rPr>
          <w:rFonts w:hint="eastAsia" w:ascii="ˎ̥" w:hAnsi="ˎ̥" w:cs="Arial"/>
          <w:sz w:val="24"/>
        </w:rPr>
        <w:t>项目报告</w:t>
      </w:r>
      <w:r>
        <w:rPr>
          <w:rFonts w:ascii="ˎ̥" w:hAnsi="ˎ̥" w:cs="Arial"/>
          <w:sz w:val="24"/>
        </w:rPr>
        <w:t>同等量的主要信息，供读者确定有无必要阅读全文。</w:t>
      </w:r>
    </w:p>
    <w:p w14:paraId="732F5880">
      <w:pPr>
        <w:spacing w:line="400" w:lineRule="exact"/>
        <w:ind w:firstLine="480" w:firstLineChars="200"/>
        <w:rPr>
          <w:rFonts w:hint="eastAsia" w:ascii="ˎ̥" w:hAnsi="ˎ̥" w:cs="Arial"/>
          <w:sz w:val="24"/>
        </w:rPr>
      </w:pPr>
      <w:r>
        <w:rPr>
          <w:rFonts w:ascii="ˎ̥" w:hAnsi="ˎ̥" w:cs="Arial"/>
          <w:sz w:val="24"/>
        </w:rPr>
        <w:t>摘要一般应说明研究工作目的、实验研究方法、结果和最终结论等，而重点是结果和结论。摘要中一般不用图、表、化学结构式、计算机程序，不用非公知公用的符号、术语和非法定的计量单位。</w:t>
      </w:r>
    </w:p>
    <w:p w14:paraId="7A6310AC">
      <w:pPr>
        <w:spacing w:line="400" w:lineRule="exact"/>
        <w:ind w:firstLine="480" w:firstLineChars="200"/>
        <w:rPr>
          <w:rFonts w:hint="eastAsia" w:ascii="ˎ̥" w:hAnsi="ˎ̥" w:cs="Arial"/>
          <w:sz w:val="24"/>
        </w:rPr>
      </w:pPr>
      <w:r>
        <w:rPr>
          <w:rFonts w:ascii="ˎ̥" w:hAnsi="ˎ̥" w:cs="Arial"/>
          <w:sz w:val="24"/>
        </w:rPr>
        <w:t>摘要一般为</w:t>
      </w:r>
      <w:r>
        <w:rPr>
          <w:sz w:val="24"/>
        </w:rPr>
        <w:t>300~400</w:t>
      </w:r>
      <w:r>
        <w:rPr>
          <w:rFonts w:ascii="ˎ̥" w:hAnsi="ˎ̥" w:cs="Arial"/>
          <w:sz w:val="24"/>
        </w:rPr>
        <w:t xml:space="preserve">汉字左右，用小四号宋体。 </w:t>
      </w:r>
    </w:p>
    <w:p w14:paraId="45837F29">
      <w:pPr>
        <w:spacing w:line="400" w:lineRule="exact"/>
        <w:ind w:firstLine="480" w:firstLineChars="200"/>
        <w:rPr>
          <w:rFonts w:hint="eastAsia" w:ascii="宋体" w:hAnsi="宋体"/>
          <w:sz w:val="24"/>
        </w:rPr>
      </w:pPr>
      <w:r>
        <w:rPr>
          <w:rFonts w:ascii="ˎ̥" w:hAnsi="ˎ̥" w:cs="Arial"/>
          <w:sz w:val="24"/>
        </w:rPr>
        <w:t>关键词是为了文献标引工作从</w:t>
      </w:r>
      <w:r>
        <w:rPr>
          <w:rFonts w:hint="eastAsia" w:ascii="ˎ̥" w:hAnsi="ˎ̥" w:cs="Arial"/>
          <w:sz w:val="24"/>
        </w:rPr>
        <w:t>项目报告</w:t>
      </w:r>
      <w:r>
        <w:rPr>
          <w:rFonts w:ascii="ˎ̥" w:hAnsi="ˎ̥" w:cs="Arial"/>
          <w:sz w:val="24"/>
        </w:rPr>
        <w:t>中选取出来用以表示全文主题内容信息款目的单词或术语。一般</w:t>
      </w:r>
      <w:r>
        <w:rPr>
          <w:rFonts w:hint="eastAsia" w:ascii="ˎ̥" w:hAnsi="ˎ̥" w:cs="Arial"/>
          <w:sz w:val="24"/>
        </w:rPr>
        <w:t>项目报告</w:t>
      </w:r>
      <w:r>
        <w:rPr>
          <w:rFonts w:ascii="ˎ̥" w:hAnsi="ˎ̥" w:cs="Arial"/>
          <w:sz w:val="24"/>
        </w:rPr>
        <w:t>应选取3~5个词作为关键词，关键词间用</w:t>
      </w:r>
      <w:r>
        <w:rPr>
          <w:rFonts w:hint="eastAsia" w:ascii="ˎ̥" w:hAnsi="ˎ̥" w:cs="Arial"/>
          <w:sz w:val="24"/>
        </w:rPr>
        <w:t>逗</w:t>
      </w:r>
      <w:r>
        <w:rPr>
          <w:rFonts w:ascii="ˎ̥" w:hAnsi="ˎ̥" w:cs="Arial"/>
          <w:sz w:val="24"/>
        </w:rPr>
        <w:t>号隔</w:t>
      </w:r>
      <w:r>
        <w:rPr>
          <w:rFonts w:hint="eastAsia" w:ascii="ˎ̥" w:hAnsi="ˎ̥" w:cs="Arial"/>
          <w:sz w:val="24"/>
        </w:rPr>
        <w:t>开</w:t>
      </w:r>
      <w:r>
        <w:rPr>
          <w:rFonts w:ascii="ˎ̥" w:hAnsi="ˎ̥" w:cs="Arial"/>
          <w:sz w:val="24"/>
        </w:rPr>
        <w:t>，最后一个词后不打标点符号。以显著的字符排在同种语言摘要的下方。如有可能，尽量用《汉语主题词表》等词表提供的规范词。</w:t>
      </w:r>
    </w:p>
    <w:p w14:paraId="60B2184A">
      <w:pPr>
        <w:spacing w:line="400" w:lineRule="exact"/>
        <w:ind w:firstLine="518"/>
        <w:rPr>
          <w:rFonts w:hint="eastAsia" w:ascii="宋体" w:hAnsi="宋体"/>
          <w:sz w:val="24"/>
        </w:rPr>
      </w:pPr>
      <w:r>
        <w:rPr>
          <w:rFonts w:ascii="宋体" w:hAnsi="宋体"/>
          <w:sz w:val="24"/>
        </w:rPr>
        <mc:AlternateContent>
          <mc:Choice Requires="wps">
            <w:drawing>
              <wp:anchor distT="0" distB="0" distL="114300" distR="114300" simplePos="0" relativeHeight="251662336" behindDoc="0" locked="0" layoutInCell="1" allowOverlap="1">
                <wp:simplePos x="0" y="0"/>
                <wp:positionH relativeFrom="column">
                  <wp:posOffset>1943100</wp:posOffset>
                </wp:positionH>
                <wp:positionV relativeFrom="paragraph">
                  <wp:posOffset>66040</wp:posOffset>
                </wp:positionV>
                <wp:extent cx="2359025" cy="297180"/>
                <wp:effectExtent l="5080" t="4445" r="13335" b="18415"/>
                <wp:wrapNone/>
                <wp:docPr id="49" name="文本框 119"/>
                <wp:cNvGraphicFramePr/>
                <a:graphic xmlns:a="http://schemas.openxmlformats.org/drawingml/2006/main">
                  <a:graphicData uri="http://schemas.microsoft.com/office/word/2010/wordprocessingShape">
                    <wps:wsp>
                      <wps:cNvSpPr txBox="1"/>
                      <wps:spPr>
                        <a:xfrm>
                          <a:off x="0" y="0"/>
                          <a:ext cx="2359025" cy="297180"/>
                        </a:xfrm>
                        <a:prstGeom prst="rect">
                          <a:avLst/>
                        </a:prstGeom>
                        <a:noFill/>
                        <a:ln w="9525" cap="flat" cmpd="sng">
                          <a:solidFill>
                            <a:srgbClr val="000000"/>
                          </a:solidFill>
                          <a:prstDash val="solid"/>
                          <a:miter/>
                          <a:headEnd type="none" w="med" len="med"/>
                          <a:tailEnd type="none" w="med" len="med"/>
                        </a:ln>
                      </wps:spPr>
                      <wps:txbx>
                        <w:txbxContent>
                          <w:p w14:paraId="6216B5F2">
                            <w:r>
                              <w:rPr>
                                <w:rFonts w:hint="eastAsia"/>
                              </w:rPr>
                              <w:t>正文，宋体小四号，行距固定值20磅</w:t>
                            </w:r>
                          </w:p>
                        </w:txbxContent>
                      </wps:txbx>
                      <wps:bodyPr wrap="square" upright="1"/>
                    </wps:wsp>
                  </a:graphicData>
                </a:graphic>
              </wp:anchor>
            </w:drawing>
          </mc:Choice>
          <mc:Fallback>
            <w:pict>
              <v:shape id="文本框 119" o:spid="_x0000_s1026" o:spt="202" type="#_x0000_t202" style="position:absolute;left:0pt;margin-left:153pt;margin-top:5.2pt;height:23.4pt;width:185.75pt;z-index:251662336;mso-width-relative:page;mso-height-relative:page;" filled="f" stroked="t" coordsize="21600,21600" o:gfxdata="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3UQhv1QAAAAkBAAAPAAAAAAAAAAEA&#10;IAAAACIAAABkcnMvZG93bnJldi54bWxQSwECFAAUAAAACACHTuJAnP2EwBICAAAeBAAADgAAAAAA&#10;AAABACAAAAAkAQAAZHJzL2Uyb0RvYy54bWxQSwUGAAAAAAYABgBZAQAAqAUAAAAA&#10;">
                <v:fill on="f" focussize="0,0"/>
                <v:stroke color="#000000" joinstyle="miter"/>
                <v:imagedata o:title=""/>
                <o:lock v:ext="edit" aspectratio="f"/>
                <v:textbox>
                  <w:txbxContent>
                    <w:p w14:paraId="6216B5F2">
                      <w:r>
                        <w:rPr>
                          <w:rFonts w:hint="eastAsia"/>
                        </w:rPr>
                        <w:t>正文，宋体小四号，行距固定值20磅</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114300</wp:posOffset>
                </wp:positionH>
                <wp:positionV relativeFrom="paragraph">
                  <wp:posOffset>208280</wp:posOffset>
                </wp:positionV>
                <wp:extent cx="1257300" cy="297180"/>
                <wp:effectExtent l="5080" t="4445" r="17780" b="18415"/>
                <wp:wrapNone/>
                <wp:docPr id="51" name="文本框 121"/>
                <wp:cNvGraphicFramePr/>
                <a:graphic xmlns:a="http://schemas.openxmlformats.org/drawingml/2006/main">
                  <a:graphicData uri="http://schemas.microsoft.com/office/word/2010/wordprocessingShape">
                    <wps:wsp>
                      <wps:cNvSpPr txBox="1"/>
                      <wps:spPr>
                        <a:xfrm>
                          <a:off x="0" y="0"/>
                          <a:ext cx="1257300" cy="297180"/>
                        </a:xfrm>
                        <a:prstGeom prst="rect">
                          <a:avLst/>
                        </a:prstGeom>
                        <a:noFill/>
                        <a:ln w="9525" cap="flat" cmpd="sng">
                          <a:solidFill>
                            <a:srgbClr val="000000"/>
                          </a:solidFill>
                          <a:prstDash val="solid"/>
                          <a:miter/>
                          <a:headEnd type="none" w="med" len="med"/>
                          <a:tailEnd type="none" w="med" len="med"/>
                        </a:ln>
                      </wps:spPr>
                      <wps:txbx>
                        <w:txbxContent>
                          <w:p w14:paraId="18E1227F">
                            <w:r>
                              <w:rPr>
                                <w:rFonts w:hint="eastAsia"/>
                              </w:rPr>
                              <w:t>与正文空两行</w:t>
                            </w:r>
                          </w:p>
                        </w:txbxContent>
                      </wps:txbx>
                      <wps:bodyPr wrap="square" upright="1"/>
                    </wps:wsp>
                  </a:graphicData>
                </a:graphic>
              </wp:anchor>
            </w:drawing>
          </mc:Choice>
          <mc:Fallback>
            <w:pict>
              <v:shape id="文本框 121" o:spid="_x0000_s1026" o:spt="202" type="#_x0000_t202" style="position:absolute;left:0pt;margin-left:9pt;margin-top:16.4pt;height:23.4pt;width:99pt;z-index:251664384;mso-width-relative:page;mso-height-relative:page;" filled="f" stroked="t" coordsize="21600,21600" o:gfxdata="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D/b8AjUAAAACAEAAA8AAAAAAAAAAQAg&#10;AAAAIgAAAGRycy9kb3ducmV2LnhtbFBLAQIUABQAAAAIAIdO4kAeE3sUEgIAAB4EAAAOAAAAAAAA&#10;AAEAIAAAACMBAABkcnMvZTJvRG9jLnhtbFBLBQYAAAAABgAGAFkBAACnBQAAAAA=&#10;">
                <v:fill on="f" focussize="0,0"/>
                <v:stroke color="#000000" joinstyle="miter"/>
                <v:imagedata o:title=""/>
                <o:lock v:ext="edit" aspectratio="f"/>
                <v:textbox>
                  <w:txbxContent>
                    <w:p w14:paraId="18E1227F">
                      <w:r>
                        <w:rPr>
                          <w:rFonts w:hint="eastAsia"/>
                        </w:rPr>
                        <w:t>与正文空两行</w:t>
                      </w:r>
                    </w:p>
                  </w:txbxContent>
                </v:textbox>
              </v:shape>
            </w:pict>
          </mc:Fallback>
        </mc:AlternateContent>
      </w:r>
    </w:p>
    <w:p w14:paraId="2B5ACB44">
      <w:pPr>
        <w:spacing w:line="400" w:lineRule="exact"/>
        <w:rPr>
          <w:rFonts w:hint="eastAsia" w:ascii="宋体" w:hAnsi="宋体"/>
          <w:b/>
          <w:bCs/>
        </w:rPr>
      </w:pPr>
    </w:p>
    <w:p w14:paraId="5534B742">
      <w:pPr>
        <w:spacing w:line="400" w:lineRule="exact"/>
        <w:rPr>
          <w:rFonts w:hint="eastAsia" w:ascii="宋体" w:hAnsi="宋体"/>
          <w:sz w:val="24"/>
        </w:rPr>
        <w:sectPr>
          <w:headerReference r:id="rId5" w:type="default"/>
          <w:footerReference r:id="rId6" w:type="default"/>
          <w:pgSz w:w="11906" w:h="16838"/>
          <w:pgMar w:top="1701" w:right="1418" w:bottom="1418" w:left="1418" w:header="907" w:footer="851" w:gutter="567"/>
          <w:pgNumType w:fmt="upperRoman" w:start="1"/>
          <w:cols w:space="425" w:num="1"/>
          <w:docGrid w:type="lines" w:linePitch="312" w:charSpace="0"/>
        </w:sectPr>
      </w:pPr>
      <w:r>
        <w:rPr>
          <w:rFonts w:hint="eastAsia" w:ascii="黑体" w:hAnsi="宋体" w:eastAsia="黑体"/>
          <w:bCs/>
          <w:sz w:val="24"/>
        </w:rPr>
        <w:t>关键词：</w:t>
      </w:r>
      <w:r>
        <w:rPr>
          <w:rFonts w:hint="eastAsia" w:ascii="宋体" w:hAnsi="宋体"/>
          <w:sz w:val="24"/>
        </w:rPr>
        <w:t>XXX，XXX，XXX，XXX，XXX（3-5个，逗号分隔，末尾不加符号）</w:t>
      </w:r>
    </w:p>
    <w:p w14:paraId="62674AB9">
      <w:pPr>
        <w:spacing w:line="400" w:lineRule="exact"/>
        <w:rPr>
          <w:rFonts w:hint="eastAsia" w:ascii="宋体" w:hAnsi="宋体"/>
          <w:sz w:val="24"/>
        </w:rPr>
      </w:pPr>
      <w:r>
        <w:rPr>
          <w:rFonts w:ascii="宋体" w:hAnsi="宋体"/>
          <w:sz w:val="24"/>
        </w:rPr>
        <mc:AlternateContent>
          <mc:Choice Requires="wps">
            <w:drawing>
              <wp:anchor distT="0" distB="0" distL="114300" distR="114300" simplePos="0" relativeHeight="251663360" behindDoc="0" locked="0" layoutInCell="1" allowOverlap="1">
                <wp:simplePos x="0" y="0"/>
                <wp:positionH relativeFrom="column">
                  <wp:posOffset>3771900</wp:posOffset>
                </wp:positionH>
                <wp:positionV relativeFrom="paragraph">
                  <wp:posOffset>40640</wp:posOffset>
                </wp:positionV>
                <wp:extent cx="914400" cy="297180"/>
                <wp:effectExtent l="4445" t="4445" r="10795" b="18415"/>
                <wp:wrapNone/>
                <wp:docPr id="50" name="文本框 120"/>
                <wp:cNvGraphicFramePr/>
                <a:graphic xmlns:a="http://schemas.openxmlformats.org/drawingml/2006/main">
                  <a:graphicData uri="http://schemas.microsoft.com/office/word/2010/wordprocessingShape">
                    <wps:wsp>
                      <wps:cNvSpPr txBox="1"/>
                      <wps:spPr>
                        <a:xfrm>
                          <a:off x="0" y="0"/>
                          <a:ext cx="914400" cy="297180"/>
                        </a:xfrm>
                        <a:prstGeom prst="rect">
                          <a:avLst/>
                        </a:prstGeom>
                        <a:noFill/>
                        <a:ln w="9525" cap="flat" cmpd="sng">
                          <a:solidFill>
                            <a:srgbClr val="000000"/>
                          </a:solidFill>
                          <a:prstDash val="solid"/>
                          <a:miter/>
                          <a:headEnd type="none" w="med" len="med"/>
                          <a:tailEnd type="none" w="med" len="med"/>
                        </a:ln>
                      </wps:spPr>
                      <wps:txbx>
                        <w:txbxContent>
                          <w:p w14:paraId="47CC7F66">
                            <w:r>
                              <w:rPr>
                                <w:rFonts w:hint="eastAsia"/>
                              </w:rPr>
                              <w:t>宋体小四号</w:t>
                            </w:r>
                          </w:p>
                        </w:txbxContent>
                      </wps:txbx>
                      <wps:bodyPr wrap="square" upright="1"/>
                    </wps:wsp>
                  </a:graphicData>
                </a:graphic>
              </wp:anchor>
            </w:drawing>
          </mc:Choice>
          <mc:Fallback>
            <w:pict>
              <v:shape id="文本框 120" o:spid="_x0000_s1026" o:spt="202" type="#_x0000_t202" style="position:absolute;left:0pt;margin-left:297pt;margin-top:3.2pt;height:23.4pt;width:72pt;z-index:251663360;mso-width-relative:page;mso-height-relative:page;" filled="f" stroked="t" coordsize="21600,21600" o:gfxdata="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7iGCJ1QAAAAgBAAAPAAAAAAAAAAEAIAAA&#10;ACIAAABkcnMvZG93bnJldi54bWxQSwECFAAUAAAACACHTuJAyrWSvQ8CAAAdBAAADgAAAAAAAAAB&#10;ACAAAAAkAQAAZHJzL2Uyb0RvYy54bWxQSwUGAAAAAAYABgBZAQAApQUAAAAA&#10;">
                <v:fill on="f" focussize="0,0"/>
                <v:stroke color="#000000" joinstyle="miter"/>
                <v:imagedata o:title=""/>
                <o:lock v:ext="edit" aspectratio="f"/>
                <v:textbox>
                  <w:txbxContent>
                    <w:p w14:paraId="47CC7F66">
                      <w:r>
                        <w:rPr>
                          <w:rFonts w:hint="eastAsia"/>
                        </w:rPr>
                        <w:t>宋体小四号</w:t>
                      </w:r>
                    </w:p>
                  </w:txbxContent>
                </v:textbox>
              </v:shape>
            </w:pict>
          </mc:Fallback>
        </mc:AlternateContent>
      </w:r>
      <w:r>
        <w:rPr>
          <w:rFonts w:ascii="宋体" w:hAnsi="宋体"/>
          <w:sz w:val="24"/>
        </w:rPr>
        <mc:AlternateContent>
          <mc:Choice Requires="wps">
            <w:drawing>
              <wp:anchor distT="0" distB="0" distL="114300" distR="114300" simplePos="0" relativeHeight="251661312" behindDoc="0" locked="0" layoutInCell="1" allowOverlap="1">
                <wp:simplePos x="0" y="0"/>
                <wp:positionH relativeFrom="column">
                  <wp:posOffset>685800</wp:posOffset>
                </wp:positionH>
                <wp:positionV relativeFrom="paragraph">
                  <wp:posOffset>195580</wp:posOffset>
                </wp:positionV>
                <wp:extent cx="1257300" cy="297180"/>
                <wp:effectExtent l="0" t="0" r="0" b="0"/>
                <wp:wrapNone/>
                <wp:docPr id="48" name="文本框 118"/>
                <wp:cNvGraphicFramePr/>
                <a:graphic xmlns:a="http://schemas.openxmlformats.org/drawingml/2006/main">
                  <a:graphicData uri="http://schemas.microsoft.com/office/word/2010/wordprocessingShape">
                    <wps:wsp>
                      <wps:cNvSpPr txBox="1"/>
                      <wps:spPr>
                        <a:xfrm>
                          <a:off x="0" y="0"/>
                          <a:ext cx="1257300" cy="297180"/>
                        </a:xfrm>
                        <a:prstGeom prst="rect">
                          <a:avLst/>
                        </a:prstGeom>
                        <a:noFill/>
                        <a:ln>
                          <a:noFill/>
                        </a:ln>
                      </wps:spPr>
                      <wps:txbx>
                        <w:txbxContent>
                          <w:p w14:paraId="3A2286BF">
                            <w:r>
                              <w:rPr>
                                <w:rFonts w:hint="eastAsia"/>
                              </w:rPr>
                              <w:t>黑体加粗小四号</w:t>
                            </w:r>
                          </w:p>
                        </w:txbxContent>
                      </wps:txbx>
                      <wps:bodyPr wrap="square" upright="1"/>
                    </wps:wsp>
                  </a:graphicData>
                </a:graphic>
              </wp:anchor>
            </w:drawing>
          </mc:Choice>
          <mc:Fallback>
            <w:pict>
              <v:shape id="文本框 118" o:spid="_x0000_s1026" o:spt="202" type="#_x0000_t202" style="position:absolute;left:0pt;margin-left:54pt;margin-top:15.4pt;height:23.4pt;width:99pt;z-index:251661312;mso-width-relative:page;mso-height-relative:page;" filled="f" stroked="f" coordsize="21600,21600" o:gfxdata="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H12qrzWAAAACQEAAA8AAAAAAAAAAQAgAAAAIgAAAGRycy9kb3ducmV2LnhtbFBLAQIUABQA&#10;AAAIAIdO4kCIpB75uQEAAF8DAAAOAAAAAAAAAAEAIAAAACUBAABkcnMvZTJvRG9jLnhtbFBLBQYA&#10;AAAABgAGAFkBAABQBQAAAAA=&#10;">
                <v:fill on="f" focussize="0,0"/>
                <v:stroke on="f"/>
                <v:imagedata o:title=""/>
                <o:lock v:ext="edit" aspectratio="f"/>
                <v:textbox>
                  <w:txbxContent>
                    <w:p w14:paraId="3A2286BF">
                      <w:r>
                        <w:rPr>
                          <w:rFonts w:hint="eastAsia"/>
                        </w:rPr>
                        <w:t>黑体加粗小四号</w:t>
                      </w:r>
                    </w:p>
                  </w:txbxContent>
                </v:textbox>
              </v:shape>
            </w:pict>
          </mc:Fallback>
        </mc:AlternateContent>
      </w:r>
      <w:r>
        <w:rPr>
          <w:rFonts w:ascii="宋体" w:hAnsi="宋体"/>
          <w:sz w:val="24"/>
        </w:rPr>
        <mc:AlternateContent>
          <mc:Choice Requires="wpg">
            <w:drawing>
              <wp:anchor distT="0" distB="0" distL="114300" distR="114300" simplePos="0" relativeHeight="251660288" behindDoc="0" locked="0" layoutInCell="1" allowOverlap="1">
                <wp:simplePos x="0" y="0"/>
                <wp:positionH relativeFrom="column">
                  <wp:posOffset>256540</wp:posOffset>
                </wp:positionH>
                <wp:positionV relativeFrom="paragraph">
                  <wp:posOffset>-2540</wp:posOffset>
                </wp:positionV>
                <wp:extent cx="400685" cy="335280"/>
                <wp:effectExtent l="4445" t="0" r="6350" b="45720"/>
                <wp:wrapNone/>
                <wp:docPr id="47" name="组合 115"/>
                <wp:cNvGraphicFramePr/>
                <a:graphic xmlns:a="http://schemas.openxmlformats.org/drawingml/2006/main">
                  <a:graphicData uri="http://schemas.microsoft.com/office/word/2010/wordprocessingGroup">
                    <wpg:wgp>
                      <wpg:cNvGrpSpPr/>
                      <wpg:grpSpPr>
                        <a:xfrm>
                          <a:off x="0" y="0"/>
                          <a:ext cx="400685" cy="335280"/>
                          <a:chOff x="6574" y="2406"/>
                          <a:chExt cx="631" cy="528"/>
                        </a:xfrm>
                      </wpg:grpSpPr>
                      <wps:wsp>
                        <wps:cNvPr id="45" name="直线 116"/>
                        <wps:cNvCnPr/>
                        <wps:spPr>
                          <a:xfrm>
                            <a:off x="6574" y="2406"/>
                            <a:ext cx="0" cy="516"/>
                          </a:xfrm>
                          <a:prstGeom prst="line">
                            <a:avLst/>
                          </a:prstGeom>
                          <a:ln w="9525" cap="flat" cmpd="sng">
                            <a:solidFill>
                              <a:srgbClr val="000000"/>
                            </a:solidFill>
                            <a:prstDash val="solid"/>
                            <a:headEnd type="none" w="med" len="med"/>
                            <a:tailEnd type="none" w="med" len="med"/>
                          </a:ln>
                        </wps:spPr>
                        <wps:bodyPr/>
                      </wps:wsp>
                      <wps:wsp>
                        <wps:cNvPr id="46" name="直线 117"/>
                        <wps:cNvCnPr/>
                        <wps:spPr>
                          <a:xfrm>
                            <a:off x="6574" y="2934"/>
                            <a:ext cx="631" cy="0"/>
                          </a:xfrm>
                          <a:prstGeom prst="line">
                            <a:avLst/>
                          </a:prstGeom>
                          <a:ln w="9525" cap="flat" cmpd="sng">
                            <a:solidFill>
                              <a:srgbClr val="000000"/>
                            </a:solidFill>
                            <a:prstDash val="solid"/>
                            <a:headEnd type="none" w="med" len="med"/>
                            <a:tailEnd type="triangle" w="med" len="med"/>
                          </a:ln>
                        </wps:spPr>
                        <wps:bodyPr/>
                      </wps:wsp>
                    </wpg:wgp>
                  </a:graphicData>
                </a:graphic>
              </wp:anchor>
            </w:drawing>
          </mc:Choice>
          <mc:Fallback>
            <w:pict>
              <v:group id="组合 115" o:spid="_x0000_s1026" o:spt="203" style="position:absolute;left:0pt;margin-left:20.2pt;margin-top:-0.2pt;height:26.4pt;width:31.55pt;z-index:251660288;mso-width-relative:page;mso-height-relative:page;" coordorigin="6574,2406" coordsize="631,528" o:gfxdata="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ctAKdcAAAAHAQAADwAAAAAAAAABACAA&#10;AAAiAAAAZHJzL2Rvd25yZXYueG1sUEsBAhQAFAAAAAgAh07iQJH1DOGAAgAA/gYAAA4AAAAAAAAA&#10;AQAgAAAAJgEAAGRycy9lMm9Eb2MueG1sUEsFBgAAAAAGAAYAWQEAABgGAAAAAA==&#10;">
                <o:lock v:ext="edit" aspectratio="f"/>
                <v:line id="直线 116" o:spid="_x0000_s1026" o:spt="20" style="position:absolute;left:6574;top:2406;height:516;width:0;" filled="f" stroked="t" coordsize="21600,21600" o:gfxdata="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T4XC2/&#10;AAAA2w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直线 117" o:spid="_x0000_s1026" o:spt="20" style="position:absolute;left:6574;top:2934;height:0;width:631;" filled="f" stroked="t" coordsize="21600,21600" o:gfxdata="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7lm/&#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group>
            </w:pict>
          </mc:Fallback>
        </mc:AlternateContent>
      </w:r>
    </w:p>
    <w:p w14:paraId="2FAA7CB1">
      <w:pPr>
        <w:spacing w:line="400" w:lineRule="exact"/>
        <w:rPr>
          <w:rFonts w:hint="eastAsia" w:ascii="宋体" w:hAnsi="宋体"/>
        </w:rPr>
      </w:pPr>
    </w:p>
    <w:p w14:paraId="3A7E51D7">
      <w:pPr>
        <w:spacing w:line="400" w:lineRule="exact"/>
      </w:pPr>
    </w:p>
    <w:p w14:paraId="1B168025">
      <w:pPr>
        <w:spacing w:line="400" w:lineRule="exact"/>
      </w:pPr>
    </w:p>
    <w:p w14:paraId="493ED984">
      <w:pPr>
        <w:spacing w:line="400" w:lineRule="exact"/>
      </w:pPr>
    </w:p>
    <w:p w14:paraId="0B2B8123">
      <w:pPr>
        <w:spacing w:line="400" w:lineRule="exact"/>
      </w:pPr>
    </w:p>
    <w:p w14:paraId="1F05C993">
      <w:pPr>
        <w:spacing w:line="400" w:lineRule="exact"/>
      </w:pPr>
    </w:p>
    <w:p w14:paraId="3C12C62C">
      <w:pPr>
        <w:spacing w:line="400" w:lineRule="exact"/>
      </w:pPr>
    </w:p>
    <w:p w14:paraId="3749618C">
      <w:pPr>
        <w:spacing w:line="400" w:lineRule="exact"/>
      </w:pPr>
    </w:p>
    <w:p w14:paraId="1530105A">
      <w:pPr>
        <w:spacing w:line="400" w:lineRule="exact"/>
      </w:pPr>
    </w:p>
    <w:p w14:paraId="6FF01406">
      <w:pPr>
        <w:spacing w:line="400" w:lineRule="exact"/>
      </w:pPr>
    </w:p>
    <w:p w14:paraId="683D2762">
      <w:pPr>
        <w:spacing w:line="400" w:lineRule="exact"/>
      </w:pPr>
    </w:p>
    <w:p w14:paraId="0D1CC886">
      <w:pPr>
        <w:spacing w:line="400" w:lineRule="exact"/>
      </w:pPr>
    </w:p>
    <w:p w14:paraId="24458211">
      <w:pPr>
        <w:spacing w:line="400" w:lineRule="exact"/>
      </w:pPr>
    </w:p>
    <w:p w14:paraId="199B814C">
      <w:pPr>
        <w:spacing w:line="400" w:lineRule="exact"/>
      </w:pPr>
    </w:p>
    <w:p w14:paraId="7DBC0025">
      <w:pPr>
        <w:spacing w:line="400" w:lineRule="exact"/>
      </w:pPr>
    </w:p>
    <w:p w14:paraId="305E8CD8">
      <w:pPr>
        <w:spacing w:line="400" w:lineRule="exact"/>
        <w:sectPr>
          <w:headerReference r:id="rId7" w:type="default"/>
          <w:type w:val="continuous"/>
          <w:pgSz w:w="11906" w:h="16838"/>
          <w:pgMar w:top="1701" w:right="1418" w:bottom="1418" w:left="1418" w:header="907" w:footer="851" w:gutter="567"/>
          <w:pgNumType w:fmt="upperRoman"/>
          <w:cols w:space="425" w:num="1"/>
          <w:docGrid w:type="lines" w:linePitch="312" w:charSpace="0"/>
        </w:sectPr>
      </w:pPr>
    </w:p>
    <w:p w14:paraId="364E089F">
      <w:pPr>
        <w:spacing w:line="400" w:lineRule="exact"/>
      </w:pPr>
    </w:p>
    <w:p w14:paraId="6AAD808B">
      <w:pPr>
        <w:tabs>
          <w:tab w:val="left" w:pos="8239"/>
        </w:tabs>
        <w:spacing w:line="400" w:lineRule="exact"/>
        <w:jc w:val="center"/>
        <w:rPr>
          <w:rFonts w:ascii="黑体" w:eastAsia="黑体"/>
          <w:b/>
          <w:sz w:val="32"/>
        </w:rPr>
      </w:pPr>
      <w:r>
        <w:rPr>
          <w:rFonts w:hint="eastAsia" w:ascii="黑体" w:eastAsia="黑体"/>
          <w:b/>
          <w:sz w:val="32"/>
        </w:rPr>
        <w:t>目   录</w:t>
      </w:r>
    </w:p>
    <w:p w14:paraId="1D294AF6">
      <w:pPr>
        <w:tabs>
          <w:tab w:val="left" w:pos="8239"/>
        </w:tabs>
        <w:spacing w:line="400" w:lineRule="exact"/>
      </w:pPr>
    </w:p>
    <w:p w14:paraId="542D7983">
      <w:pPr>
        <w:tabs>
          <w:tab w:val="right" w:leader="dot" w:pos="8280"/>
        </w:tabs>
        <w:spacing w:line="400" w:lineRule="exact"/>
        <w:rPr>
          <w:b/>
          <w:sz w:val="28"/>
        </w:rPr>
      </w:pPr>
      <w:r>
        <w:rPr>
          <w:rFonts w:hint="eastAsia" w:ascii="黑体" w:eastAsia="黑体"/>
          <w:sz w:val="28"/>
        </w:rPr>
        <w:t>摘要</w:t>
      </w:r>
      <w:r>
        <w:rPr>
          <w:rFonts w:hint="eastAsia"/>
          <w:sz w:val="28"/>
        </w:rPr>
        <w:tab/>
      </w:r>
      <w:r>
        <w:rPr>
          <w:rFonts w:hint="eastAsia" w:hAnsi="宋体"/>
          <w:bCs/>
        </w:rPr>
        <w:t>Ⅰ</w:t>
      </w:r>
    </w:p>
    <w:p w14:paraId="6F9B6EA1">
      <w:pPr>
        <w:tabs>
          <w:tab w:val="right" w:leader="dot" w:pos="8280"/>
        </w:tabs>
        <w:spacing w:line="400" w:lineRule="exact"/>
        <w:rPr>
          <w:b/>
          <w:sz w:val="28"/>
        </w:rPr>
      </w:pPr>
      <w:r>
        <w:rPr>
          <w:rFonts w:hint="eastAsia" w:ascii="黑体" w:eastAsia="黑体"/>
          <w:sz w:val="28"/>
        </w:rPr>
        <w:t>1</w:t>
      </w:r>
      <w:r>
        <w:rPr>
          <w:rFonts w:eastAsia="黑体"/>
          <w:sz w:val="28"/>
          <w:szCs w:val="28"/>
        </w:rPr>
        <w:t>作品概述</w:t>
      </w:r>
      <w:r>
        <w:rPr>
          <w:rFonts w:hint="eastAsia"/>
          <w:sz w:val="28"/>
        </w:rPr>
        <w:tab/>
      </w:r>
      <w:r>
        <w:rPr>
          <w:rFonts w:hint="eastAsia" w:hAnsi="宋体"/>
          <w:bCs/>
        </w:rPr>
        <w:t>1</w:t>
      </w:r>
    </w:p>
    <w:p w14:paraId="7794989F">
      <w:pPr>
        <w:tabs>
          <w:tab w:val="right" w:leader="dot" w:pos="8280"/>
        </w:tabs>
        <w:spacing w:line="400" w:lineRule="exact"/>
      </w:pPr>
      <w:r>
        <w:rPr>
          <w:rFonts w:hint="eastAsia"/>
          <w:b/>
        </w:rPr>
        <w:t xml:space="preserve">  </w:t>
      </w:r>
      <w:r>
        <w:rPr>
          <w:rFonts w:hint="eastAsia" w:ascii="黑体" w:eastAsia="黑体"/>
        </w:rPr>
        <w:t xml:space="preserve">1.1 </w:t>
      </w:r>
      <w:r>
        <w:rPr>
          <w:rFonts w:eastAsia="黑体"/>
          <w:szCs w:val="21"/>
        </w:rPr>
        <w:t>背景</w:t>
      </w:r>
      <w:r>
        <w:rPr>
          <w:rFonts w:hint="eastAsia" w:eastAsia="黑体"/>
          <w:szCs w:val="21"/>
          <w:lang w:val="en-US" w:eastAsia="zh-CN"/>
        </w:rPr>
        <w:t>与问题定位</w:t>
      </w:r>
      <w:r>
        <w:rPr>
          <w:rFonts w:hint="eastAsia"/>
          <w:sz w:val="28"/>
        </w:rPr>
        <w:tab/>
      </w:r>
      <w:r>
        <w:rPr>
          <w:rFonts w:hAnsi="宋体"/>
          <w:bCs/>
        </w:rPr>
        <w:t>1</w:t>
      </w:r>
    </w:p>
    <w:p w14:paraId="5D277010">
      <w:pPr>
        <w:tabs>
          <w:tab w:val="right" w:leader="dot" w:pos="8280"/>
        </w:tabs>
        <w:spacing w:line="400" w:lineRule="exact"/>
        <w:rPr>
          <w:rFonts w:hint="eastAsia" w:hAnsi="宋体"/>
          <w:bCs/>
        </w:rPr>
      </w:pPr>
      <w:r>
        <mc:AlternateContent>
          <mc:Choice Requires="wps">
            <w:drawing>
              <wp:anchor distT="0" distB="0" distL="114300" distR="114300" simplePos="0" relativeHeight="251659264" behindDoc="0" locked="0" layoutInCell="1" allowOverlap="1">
                <wp:simplePos x="0" y="0"/>
                <wp:positionH relativeFrom="column">
                  <wp:posOffset>-815340</wp:posOffset>
                </wp:positionH>
                <wp:positionV relativeFrom="paragraph">
                  <wp:posOffset>215900</wp:posOffset>
                </wp:positionV>
                <wp:extent cx="543560" cy="693420"/>
                <wp:effectExtent l="4445" t="4445" r="15875" b="18415"/>
                <wp:wrapNone/>
                <wp:docPr id="2" name="文本框 9"/>
                <wp:cNvGraphicFramePr/>
                <a:graphic xmlns:a="http://schemas.openxmlformats.org/drawingml/2006/main">
                  <a:graphicData uri="http://schemas.microsoft.com/office/word/2010/wordprocessingShape">
                    <wps:wsp>
                      <wps:cNvSpPr txBox="1"/>
                      <wps:spPr>
                        <a:xfrm>
                          <a:off x="0" y="0"/>
                          <a:ext cx="543560" cy="69342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5784ADAB"/>
                        </w:txbxContent>
                      </wps:txbx>
                      <wps:bodyPr vert="eaVert" wrap="square" upright="1"/>
                    </wps:wsp>
                  </a:graphicData>
                </a:graphic>
              </wp:anchor>
            </w:drawing>
          </mc:Choice>
          <mc:Fallback>
            <w:pict>
              <v:shape id="文本框 9" o:spid="_x0000_s1026" o:spt="202" type="#_x0000_t202" style="position:absolute;left:0pt;margin-left:-64.2pt;margin-top:17pt;height:54.6pt;width:42.8pt;z-index:251659264;mso-width-relative:page;mso-height-relative:page;" fillcolor="#FFFFFF" filled="t" stroked="t" coordsize="21600,21600" o:gfxdata="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vrqs+1gAAAAsBAAAP&#10;AAAAAAAAAAEAIAAAACIAAABkcnMvZG93bnJldi54bWxQSwECFAAUAAAACACHTuJA3kiQtRoCAABR&#10;BAAADgAAAAAAAAABACAAAAAlAQAAZHJzL2Uyb0RvYy54bWxQSwUGAAAAAAYABgBZAQAAsQUAAAAA&#10;">
                <v:fill on="t" focussize="0,0"/>
                <v:stroke color="#FFFFFF" joinstyle="miter"/>
                <v:imagedata o:title=""/>
                <o:lock v:ext="edit" aspectratio="f"/>
                <v:textbox style="layout-flow:vertical-ideographic;">
                  <w:txbxContent>
                    <w:p w14:paraId="5784ADAB"/>
                  </w:txbxContent>
                </v:textbox>
              </v:shape>
            </w:pict>
          </mc:Fallback>
        </mc:AlternateContent>
      </w:r>
      <w:r>
        <w:rPr>
          <w:rFonts w:hint="eastAsia"/>
          <w:b/>
        </w:rPr>
        <w:t xml:space="preserve"> </w:t>
      </w:r>
      <w:r>
        <w:rPr>
          <w:b/>
        </w:rPr>
        <w:t xml:space="preserve"> </w:t>
      </w:r>
      <w:r>
        <w:rPr>
          <w:rFonts w:ascii="黑体" w:eastAsia="黑体"/>
        </w:rPr>
        <w:t xml:space="preserve">1.2 </w:t>
      </w:r>
      <w:r>
        <w:rPr>
          <w:rFonts w:eastAsia="黑体"/>
          <w:szCs w:val="21"/>
        </w:rPr>
        <w:t>研究基础</w:t>
      </w:r>
      <w:r>
        <w:rPr>
          <w:rFonts w:hint="eastAsia"/>
          <w:sz w:val="28"/>
        </w:rPr>
        <w:tab/>
      </w:r>
      <w:r>
        <w:rPr>
          <w:rFonts w:hAnsi="宋体"/>
          <w:bCs/>
        </w:rPr>
        <w:t>3</w:t>
      </w:r>
    </w:p>
    <w:p w14:paraId="30BE477C">
      <w:pPr>
        <w:tabs>
          <w:tab w:val="right" w:leader="dot" w:pos="8280"/>
        </w:tabs>
        <w:spacing w:line="400" w:lineRule="exact"/>
        <w:ind w:firstLine="210" w:firstLineChars="100"/>
        <w:rPr>
          <w:rFonts w:hint="eastAsia" w:hAnsi="宋体"/>
          <w:bCs/>
        </w:rPr>
      </w:pPr>
      <w:r>
        <w:rPr>
          <w:rFonts w:ascii="黑体" w:eastAsia="黑体"/>
        </w:rPr>
        <w:t>1.</w:t>
      </w:r>
      <w:r>
        <w:rPr>
          <w:rFonts w:hint="eastAsia" w:ascii="黑体" w:eastAsia="黑体"/>
          <w:lang w:val="en-US" w:eastAsia="zh-CN"/>
        </w:rPr>
        <w:t>3</w:t>
      </w:r>
      <w:r>
        <w:rPr>
          <w:rFonts w:ascii="黑体" w:eastAsia="黑体"/>
        </w:rPr>
        <w:t xml:space="preserve"> </w:t>
      </w:r>
      <w:r>
        <w:rPr>
          <w:rFonts w:hint="eastAsia" w:ascii="黑体" w:eastAsia="黑体"/>
          <w:lang w:val="en-US" w:eastAsia="zh-CN"/>
        </w:rPr>
        <w:t>应用场景和价值</w:t>
      </w:r>
      <w:r>
        <w:rPr>
          <w:rFonts w:hint="eastAsia"/>
          <w:sz w:val="28"/>
        </w:rPr>
        <w:tab/>
      </w:r>
      <w:r>
        <w:rPr>
          <w:rFonts w:hint="eastAsia" w:hAnsi="宋体"/>
          <w:bCs/>
        </w:rPr>
        <w:t>14</w:t>
      </w:r>
    </w:p>
    <w:p w14:paraId="4D02F233">
      <w:pPr>
        <w:tabs>
          <w:tab w:val="right" w:leader="dot" w:pos="8280"/>
        </w:tabs>
        <w:spacing w:line="400" w:lineRule="exact"/>
        <w:ind w:firstLine="210" w:firstLineChars="100"/>
        <w:rPr>
          <w:b/>
        </w:rPr>
      </w:pPr>
      <w:r>
        <w:rPr>
          <w:rFonts w:ascii="黑体" w:eastAsia="黑体"/>
        </w:rPr>
        <w:t>1.</w:t>
      </w:r>
      <w:r>
        <w:rPr>
          <w:rFonts w:hint="eastAsia" w:ascii="黑体" w:eastAsia="黑体"/>
          <w:lang w:val="en-US" w:eastAsia="zh-CN"/>
        </w:rPr>
        <w:t>4</w:t>
      </w:r>
      <w:r>
        <w:rPr>
          <w:rFonts w:ascii="黑体" w:eastAsia="黑体"/>
        </w:rPr>
        <w:t xml:space="preserve"> </w:t>
      </w:r>
      <w:r>
        <w:rPr>
          <w:rFonts w:eastAsia="黑体"/>
          <w:szCs w:val="21"/>
        </w:rPr>
        <w:t>研究目标</w:t>
      </w:r>
      <w:r>
        <w:rPr>
          <w:rFonts w:hint="eastAsia"/>
          <w:sz w:val="28"/>
        </w:rPr>
        <w:tab/>
      </w:r>
      <w:r>
        <w:rPr>
          <w:rFonts w:hint="eastAsia" w:hAnsi="宋体"/>
          <w:bCs/>
        </w:rPr>
        <w:t>14</w:t>
      </w:r>
    </w:p>
    <w:p w14:paraId="051266F2">
      <w:pPr>
        <w:tabs>
          <w:tab w:val="right" w:leader="dot" w:pos="8280"/>
        </w:tabs>
        <w:spacing w:line="400" w:lineRule="exact"/>
        <w:ind w:firstLine="420"/>
        <w:rPr>
          <w:rFonts w:hint="eastAsia" w:hAnsi="宋体"/>
          <w:bCs/>
        </w:rPr>
      </w:pPr>
      <w:r>
        <w:rPr>
          <w:rFonts w:hint="eastAsia"/>
        </w:rPr>
        <w:t xml:space="preserve">   </w:t>
      </w:r>
    </w:p>
    <w:p w14:paraId="2E041247">
      <w:pPr>
        <w:tabs>
          <w:tab w:val="right" w:leader="dot" w:pos="8280"/>
        </w:tabs>
        <w:spacing w:line="400" w:lineRule="exact"/>
        <w:ind w:left="107" w:hanging="107"/>
        <w:rPr>
          <w:rFonts w:hint="eastAsia" w:hAnsi="宋体"/>
          <w:bCs/>
        </w:rPr>
      </w:pPr>
      <w:r>
        <w:rPr>
          <w:rFonts w:hint="eastAsia" w:ascii="黑体" w:eastAsia="黑体"/>
          <w:sz w:val="28"/>
        </w:rPr>
        <w:t xml:space="preserve">2 </w:t>
      </w:r>
      <w:r>
        <w:rPr>
          <w:rFonts w:eastAsia="黑体"/>
          <w:sz w:val="28"/>
          <w:szCs w:val="28"/>
        </w:rPr>
        <w:t>作品方案设计及实现</w:t>
      </w:r>
      <w:r>
        <w:rPr>
          <w:rFonts w:hint="eastAsia"/>
          <w:sz w:val="28"/>
        </w:rPr>
        <w:tab/>
      </w:r>
      <w:r>
        <w:rPr>
          <w:rFonts w:hint="eastAsia" w:hAnsi="宋体"/>
          <w:bCs/>
        </w:rPr>
        <w:t>16</w:t>
      </w:r>
    </w:p>
    <w:p w14:paraId="39295981">
      <w:pPr>
        <w:numPr>
          <w:numId w:val="0"/>
        </w:numPr>
        <w:tabs>
          <w:tab w:val="right" w:leader="dot" w:pos="8280"/>
        </w:tabs>
        <w:spacing w:line="400" w:lineRule="exact"/>
        <w:ind w:leftChars="0" w:firstLine="210" w:firstLineChars="100"/>
        <w:rPr>
          <w:rFonts w:hint="eastAsia" w:hAnsi="宋体"/>
          <w:bCs/>
        </w:rPr>
      </w:pPr>
      <w:r>
        <w:rPr>
          <w:rFonts w:hint="eastAsia" w:ascii="黑体" w:hAnsi="黑体" w:eastAsia="黑体" w:cs="黑体"/>
          <w:szCs w:val="21"/>
          <w:lang w:val="en-US" w:eastAsia="zh-CN"/>
        </w:rPr>
        <w:t xml:space="preserve">2.1 </w:t>
      </w:r>
      <w:r>
        <w:rPr>
          <w:rFonts w:hint="eastAsia" w:ascii="黑体" w:hAnsi="黑体" w:eastAsia="黑体" w:cs="黑体"/>
          <w:szCs w:val="21"/>
        </w:rPr>
        <w:t>作品实现的技术路线概述</w:t>
      </w:r>
      <w:r>
        <w:rPr>
          <w:rFonts w:hint="eastAsia"/>
          <w:sz w:val="28"/>
        </w:rPr>
        <w:tab/>
      </w:r>
      <w:r>
        <w:rPr>
          <w:rFonts w:hint="eastAsia" w:hAnsi="宋体"/>
          <w:bCs/>
        </w:rPr>
        <w:t>17</w:t>
      </w:r>
    </w:p>
    <w:p w14:paraId="171B49DA">
      <w:pPr>
        <w:tabs>
          <w:tab w:val="right" w:leader="dot" w:pos="8280"/>
        </w:tabs>
        <w:spacing w:line="400" w:lineRule="exact"/>
        <w:ind w:firstLine="420" w:firstLineChars="200"/>
      </w:pPr>
      <w:r>
        <w:rPr>
          <w:rFonts w:hint="eastAsia" w:ascii="黑体" w:hAnsi="黑体" w:eastAsia="黑体" w:cs="黑体"/>
          <w:lang w:val="en-US" w:eastAsia="zh-CN"/>
        </w:rPr>
        <w:t>2</w:t>
      </w:r>
      <w:r>
        <w:rPr>
          <w:rFonts w:hint="eastAsia" w:ascii="黑体" w:hAnsi="黑体" w:eastAsia="黑体" w:cs="黑体"/>
        </w:rPr>
        <w:t xml:space="preserve">.1.1 </w:t>
      </w:r>
      <w:r>
        <w:rPr>
          <w:rFonts w:hint="eastAsia" w:ascii="黑体" w:hAnsi="黑体" w:eastAsia="黑体" w:cs="黑体"/>
          <w:lang w:val="en-US" w:eastAsia="zh-CN"/>
        </w:rPr>
        <w:t>硬件基础</w:t>
      </w:r>
      <w:r>
        <w:rPr>
          <w:rFonts w:hint="eastAsia"/>
          <w:sz w:val="28"/>
        </w:rPr>
        <w:tab/>
      </w:r>
      <w:r>
        <w:rPr>
          <w:rFonts w:hint="eastAsia" w:hAnsi="宋体"/>
          <w:bCs/>
        </w:rPr>
        <w:t>50</w:t>
      </w:r>
    </w:p>
    <w:p w14:paraId="549B72F5">
      <w:pPr>
        <w:tabs>
          <w:tab w:val="right" w:leader="dot" w:pos="8280"/>
        </w:tabs>
        <w:spacing w:line="400" w:lineRule="exact"/>
        <w:ind w:firstLine="420" w:firstLineChars="200"/>
        <w:rPr>
          <w:rFonts w:hint="eastAsia" w:hAnsi="宋体"/>
          <w:bCs/>
        </w:rPr>
      </w:pPr>
      <w:r>
        <w:rPr>
          <w:rFonts w:hint="eastAsia" w:ascii="黑体" w:hAnsi="黑体" w:eastAsia="黑体" w:cs="黑体"/>
          <w:lang w:val="en-US" w:eastAsia="zh-CN"/>
        </w:rPr>
        <w:t>2</w:t>
      </w:r>
      <w:r>
        <w:rPr>
          <w:rFonts w:hint="eastAsia" w:ascii="黑体" w:hAnsi="黑体" w:eastAsia="黑体" w:cs="黑体"/>
        </w:rPr>
        <w:t>.1.</w:t>
      </w:r>
      <w:r>
        <w:rPr>
          <w:rFonts w:hint="eastAsia" w:ascii="黑体" w:hAnsi="黑体" w:eastAsia="黑体" w:cs="黑体"/>
          <w:lang w:val="en-US" w:eastAsia="zh-CN"/>
        </w:rPr>
        <w:t>2</w:t>
      </w:r>
      <w:r>
        <w:rPr>
          <w:rFonts w:hint="eastAsia" w:ascii="黑体" w:hAnsi="黑体" w:eastAsia="黑体" w:cs="黑体"/>
        </w:rPr>
        <w:t xml:space="preserve"> </w:t>
      </w:r>
      <w:r>
        <w:rPr>
          <w:rFonts w:hint="eastAsia" w:ascii="黑体" w:hAnsi="黑体" w:eastAsia="黑体" w:cs="黑体"/>
          <w:lang w:val="en-US" w:eastAsia="zh-CN"/>
        </w:rPr>
        <w:t>信号处理与注意力指标</w:t>
      </w:r>
      <w:r>
        <w:rPr>
          <w:rFonts w:hint="eastAsia"/>
          <w:sz w:val="28"/>
        </w:rPr>
        <w:tab/>
      </w:r>
      <w:r>
        <w:rPr>
          <w:rFonts w:hint="eastAsia" w:hAnsi="宋体"/>
          <w:bCs/>
        </w:rPr>
        <w:t>50</w:t>
      </w:r>
    </w:p>
    <w:p w14:paraId="0C63E7F4">
      <w:pPr>
        <w:tabs>
          <w:tab w:val="right" w:leader="dot" w:pos="8280"/>
        </w:tabs>
        <w:spacing w:line="400" w:lineRule="exact"/>
        <w:ind w:firstLine="210" w:firstLineChars="100"/>
        <w:rPr>
          <w:b/>
        </w:rPr>
      </w:pPr>
      <w:r>
        <w:rPr>
          <w:rFonts w:hint="eastAsia" w:ascii="黑体" w:eastAsia="黑体"/>
        </w:rPr>
        <w:t>2</w:t>
      </w:r>
      <w:r>
        <w:rPr>
          <w:rFonts w:ascii="黑体" w:eastAsia="黑体"/>
        </w:rPr>
        <w:t>.</w:t>
      </w:r>
      <w:r>
        <w:rPr>
          <w:rFonts w:hint="eastAsia" w:ascii="黑体" w:eastAsia="黑体"/>
          <w:lang w:val="en-US" w:eastAsia="zh-CN"/>
        </w:rPr>
        <w:t>2</w:t>
      </w:r>
      <w:r>
        <w:rPr>
          <w:rFonts w:ascii="黑体" w:eastAsia="黑体"/>
        </w:rPr>
        <w:t xml:space="preserve"> </w:t>
      </w:r>
      <w:r>
        <w:rPr>
          <w:rFonts w:hint="eastAsia" w:ascii="黑体" w:hAnsi="黑体" w:eastAsia="黑体" w:cs="黑体"/>
          <w:szCs w:val="21"/>
        </w:rPr>
        <w:t>作品方案设计及实现过程</w:t>
      </w:r>
      <w:r>
        <w:rPr>
          <w:rFonts w:hint="eastAsia"/>
          <w:sz w:val="28"/>
        </w:rPr>
        <w:tab/>
      </w:r>
      <w:r>
        <w:rPr>
          <w:rFonts w:hint="eastAsia" w:hAnsi="宋体"/>
          <w:bCs/>
        </w:rPr>
        <w:t>25</w:t>
      </w:r>
    </w:p>
    <w:p w14:paraId="6FC62423">
      <w:pPr>
        <w:tabs>
          <w:tab w:val="right" w:leader="dot" w:pos="8280"/>
        </w:tabs>
        <w:spacing w:line="400" w:lineRule="exact"/>
        <w:ind w:firstLine="420" w:firstLineChars="200"/>
        <w:rPr>
          <w:rFonts w:hint="eastAsia"/>
          <w:lang w:val="en-US" w:eastAsia="zh-CN"/>
        </w:rPr>
      </w:pPr>
      <w:r>
        <w:rPr>
          <w:rFonts w:hint="eastAsia" w:ascii="黑体" w:hAnsi="黑体" w:eastAsia="黑体" w:cs="黑体"/>
          <w:lang w:val="en-US" w:eastAsia="zh-CN"/>
        </w:rPr>
        <w:t>2.2.1 任务设计：从基础持续注意到抗干扰控制</w:t>
      </w:r>
      <w:r>
        <w:rPr>
          <w:rFonts w:hint="eastAsia"/>
          <w:sz w:val="28"/>
          <w:lang w:val="en-US" w:eastAsia="zh-CN"/>
        </w:rPr>
        <w:tab/>
      </w:r>
      <w:r>
        <w:rPr>
          <w:rFonts w:hint="eastAsia"/>
          <w:lang w:val="en-US" w:eastAsia="zh-CN"/>
        </w:rPr>
        <w:t>26</w:t>
      </w:r>
    </w:p>
    <w:p w14:paraId="1F654685">
      <w:pPr>
        <w:tabs>
          <w:tab w:val="right" w:leader="dot" w:pos="8280"/>
        </w:tabs>
        <w:spacing w:line="400" w:lineRule="exact"/>
        <w:ind w:firstLine="420" w:firstLineChars="200"/>
        <w:rPr>
          <w:rFonts w:hint="eastAsia"/>
          <w:lang w:val="en-US" w:eastAsia="zh-CN"/>
        </w:rPr>
      </w:pPr>
      <w:r>
        <w:rPr>
          <w:rFonts w:hint="eastAsia" w:ascii="黑体" w:hAnsi="黑体" w:eastAsia="黑体" w:cs="黑体"/>
          <w:lang w:val="en-US" w:eastAsia="zh-CN"/>
        </w:rPr>
        <w:t>2.2.2 交互与界面设计</w:t>
      </w:r>
      <w:r>
        <w:rPr>
          <w:rFonts w:hint="eastAsia"/>
          <w:sz w:val="28"/>
          <w:lang w:val="en-US" w:eastAsia="zh-CN"/>
        </w:rPr>
        <w:tab/>
      </w:r>
      <w:r>
        <w:rPr>
          <w:rFonts w:hint="eastAsia"/>
          <w:lang w:val="en-US" w:eastAsia="zh-CN"/>
        </w:rPr>
        <w:t>27</w:t>
      </w:r>
    </w:p>
    <w:p w14:paraId="746B216A">
      <w:pPr>
        <w:tabs>
          <w:tab w:val="right" w:leader="dot" w:pos="8280"/>
        </w:tabs>
        <w:spacing w:line="400" w:lineRule="exact"/>
        <w:ind w:firstLine="420" w:firstLineChars="200"/>
        <w:rPr>
          <w:rFonts w:hint="eastAsia"/>
          <w:lang w:val="en-US" w:eastAsia="zh-CN"/>
        </w:rPr>
      </w:pPr>
    </w:p>
    <w:p w14:paraId="4CEDCD94">
      <w:pPr>
        <w:tabs>
          <w:tab w:val="right" w:leader="dot" w:pos="8280"/>
        </w:tabs>
        <w:spacing w:line="400" w:lineRule="exact"/>
        <w:ind w:left="107" w:hanging="107"/>
        <w:rPr>
          <w:rFonts w:hint="eastAsia" w:hAnsi="宋体"/>
          <w:bCs/>
        </w:rPr>
      </w:pPr>
      <w:r>
        <w:rPr>
          <w:rFonts w:hint="eastAsia" w:ascii="黑体" w:eastAsia="黑体"/>
          <w:sz w:val="28"/>
        </w:rPr>
        <w:t xml:space="preserve">3 </w:t>
      </w:r>
      <w:r>
        <w:rPr>
          <w:rFonts w:eastAsia="黑体"/>
          <w:sz w:val="28"/>
          <w:szCs w:val="28"/>
        </w:rPr>
        <w:t>作品</w:t>
      </w:r>
      <w:r>
        <w:rPr>
          <w:rFonts w:hint="eastAsia" w:ascii="黑体" w:hAnsi="黑体" w:eastAsia="黑体" w:cs="黑体"/>
          <w:sz w:val="28"/>
          <w:szCs w:val="28"/>
        </w:rPr>
        <w:t>测试方案及测试结果</w:t>
      </w:r>
      <w:r>
        <w:rPr>
          <w:rFonts w:hint="eastAsia"/>
          <w:sz w:val="28"/>
        </w:rPr>
        <w:tab/>
      </w:r>
      <w:r>
        <w:rPr>
          <w:rFonts w:hint="eastAsia" w:hAnsi="宋体"/>
          <w:bCs/>
        </w:rPr>
        <w:t>42</w:t>
      </w:r>
    </w:p>
    <w:p w14:paraId="59F47A29">
      <w:pPr>
        <w:tabs>
          <w:tab w:val="right" w:leader="dot" w:pos="8280"/>
        </w:tabs>
        <w:spacing w:line="400" w:lineRule="exact"/>
        <w:ind w:firstLine="210" w:firstLineChars="100"/>
        <w:rPr>
          <w:b/>
        </w:rPr>
      </w:pPr>
      <w:r>
        <w:rPr>
          <w:rFonts w:hint="eastAsia" w:ascii="黑体" w:eastAsia="黑体"/>
        </w:rPr>
        <w:t xml:space="preserve">3.1 </w:t>
      </w:r>
      <w:r>
        <w:rPr>
          <w:rFonts w:eastAsia="黑体"/>
          <w:szCs w:val="21"/>
        </w:rPr>
        <w:t>测试</w:t>
      </w:r>
      <w:r>
        <w:rPr>
          <w:rFonts w:hint="eastAsia" w:eastAsia="黑体"/>
          <w:szCs w:val="21"/>
        </w:rPr>
        <w:t>方案</w:t>
      </w:r>
      <w:r>
        <w:rPr>
          <w:rFonts w:hint="eastAsia"/>
          <w:sz w:val="28"/>
        </w:rPr>
        <w:tab/>
      </w:r>
      <w:r>
        <w:rPr>
          <w:rFonts w:hint="eastAsia" w:hAnsi="宋体"/>
          <w:bCs/>
        </w:rPr>
        <w:t>44</w:t>
      </w:r>
    </w:p>
    <w:p w14:paraId="12FF571B">
      <w:pPr>
        <w:tabs>
          <w:tab w:val="right" w:leader="dot" w:pos="8280"/>
        </w:tabs>
        <w:spacing w:line="400" w:lineRule="exact"/>
      </w:pPr>
      <w:r>
        <w:rPr>
          <w:rFonts w:hint="eastAsia"/>
        </w:rPr>
        <w:t xml:space="preserve">    3.1.1 </w:t>
      </w:r>
      <w:r>
        <w:rPr>
          <w:rFonts w:hint="eastAsia"/>
          <w:szCs w:val="21"/>
        </w:rPr>
        <w:t>XXX</w:t>
      </w:r>
      <w:r>
        <w:rPr>
          <w:rFonts w:hint="eastAsia"/>
          <w:sz w:val="28"/>
        </w:rPr>
        <w:tab/>
      </w:r>
      <w:r>
        <w:rPr>
          <w:rFonts w:hint="eastAsia" w:hAnsi="宋体"/>
          <w:bCs/>
        </w:rPr>
        <w:t>50</w:t>
      </w:r>
    </w:p>
    <w:p w14:paraId="68BD62F9">
      <w:pPr>
        <w:tabs>
          <w:tab w:val="right" w:leader="dot" w:pos="8280"/>
        </w:tabs>
        <w:spacing w:line="400" w:lineRule="exact"/>
        <w:ind w:firstLine="420"/>
        <w:rPr>
          <w:rFonts w:hint="eastAsia" w:hAnsi="宋体"/>
          <w:bCs/>
        </w:rPr>
      </w:pPr>
      <w:r>
        <w:rPr>
          <w:rFonts w:hint="eastAsia"/>
        </w:rPr>
        <w:t>3.1.2</w:t>
      </w:r>
      <w:r>
        <w:rPr>
          <w:rFonts w:hint="eastAsia"/>
          <w:sz w:val="28"/>
        </w:rPr>
        <w:tab/>
      </w:r>
      <w:r>
        <w:rPr>
          <w:rFonts w:hint="eastAsia" w:hAnsi="宋体"/>
          <w:bCs/>
        </w:rPr>
        <w:t>52</w:t>
      </w:r>
    </w:p>
    <w:p w14:paraId="448AE531">
      <w:pPr>
        <w:tabs>
          <w:tab w:val="right" w:leader="dot" w:pos="8280"/>
        </w:tabs>
        <w:spacing w:line="400" w:lineRule="exact"/>
        <w:ind w:firstLine="210" w:firstLineChars="100"/>
        <w:rPr>
          <w:b/>
        </w:rPr>
      </w:pPr>
      <w:r>
        <w:rPr>
          <w:rFonts w:hint="eastAsia" w:ascii="黑体" w:eastAsia="黑体"/>
        </w:rPr>
        <w:t>3</w:t>
      </w:r>
      <w:r>
        <w:rPr>
          <w:rFonts w:ascii="黑体" w:eastAsia="黑体"/>
        </w:rPr>
        <w:t>.</w:t>
      </w:r>
      <w:r>
        <w:rPr>
          <w:rFonts w:hint="eastAsia" w:ascii="黑体" w:eastAsia="黑体"/>
        </w:rPr>
        <w:t>2</w:t>
      </w:r>
      <w:r>
        <w:rPr>
          <w:rFonts w:ascii="黑体" w:eastAsia="黑体"/>
        </w:rPr>
        <w:t xml:space="preserve"> </w:t>
      </w:r>
      <w:r>
        <w:rPr>
          <w:rFonts w:eastAsia="黑体"/>
          <w:szCs w:val="21"/>
        </w:rPr>
        <w:t>测试结果</w:t>
      </w:r>
      <w:r>
        <w:rPr>
          <w:rFonts w:hint="eastAsia"/>
          <w:sz w:val="28"/>
        </w:rPr>
        <w:tab/>
      </w:r>
      <w:r>
        <w:rPr>
          <w:rFonts w:hint="eastAsia" w:hAnsi="宋体"/>
          <w:bCs/>
        </w:rPr>
        <w:t>53</w:t>
      </w:r>
    </w:p>
    <w:p w14:paraId="1F875082">
      <w:pPr>
        <w:tabs>
          <w:tab w:val="right" w:leader="dot" w:pos="8280"/>
        </w:tabs>
        <w:spacing w:line="400" w:lineRule="exact"/>
      </w:pPr>
      <w:r>
        <w:rPr>
          <w:rFonts w:hint="eastAsia"/>
        </w:rPr>
        <w:t xml:space="preserve">    3.2.1 </w:t>
      </w:r>
      <w:r>
        <w:rPr>
          <w:rFonts w:hint="eastAsia"/>
          <w:szCs w:val="21"/>
        </w:rPr>
        <w:t>XXX</w:t>
      </w:r>
      <w:r>
        <w:rPr>
          <w:rFonts w:hint="eastAsia"/>
          <w:sz w:val="28"/>
        </w:rPr>
        <w:tab/>
      </w:r>
      <w:r>
        <w:rPr>
          <w:rFonts w:hint="eastAsia" w:hAnsi="宋体"/>
          <w:bCs/>
        </w:rPr>
        <w:t>54</w:t>
      </w:r>
    </w:p>
    <w:p w14:paraId="25285E8C">
      <w:pPr>
        <w:tabs>
          <w:tab w:val="right" w:leader="dot" w:pos="8280"/>
        </w:tabs>
        <w:spacing w:line="400" w:lineRule="exact"/>
        <w:ind w:firstLine="420"/>
        <w:rPr>
          <w:rFonts w:hint="eastAsia" w:hAnsi="宋体"/>
          <w:bCs/>
        </w:rPr>
      </w:pPr>
      <w:r>
        <w:rPr>
          <w:rFonts w:hint="eastAsia"/>
        </w:rPr>
        <w:t>3.2.2</w:t>
      </w:r>
      <w:r>
        <w:rPr>
          <w:rFonts w:hint="eastAsia"/>
          <w:sz w:val="28"/>
        </w:rPr>
        <w:tab/>
      </w:r>
      <w:r>
        <w:rPr>
          <w:rFonts w:hint="eastAsia" w:hAnsi="宋体"/>
          <w:bCs/>
        </w:rPr>
        <w:t>63</w:t>
      </w:r>
    </w:p>
    <w:p w14:paraId="18BFFA1A">
      <w:pPr>
        <w:tabs>
          <w:tab w:val="right" w:leader="dot" w:pos="8280"/>
        </w:tabs>
        <w:spacing w:line="400" w:lineRule="exact"/>
        <w:ind w:firstLine="210" w:firstLineChars="100"/>
        <w:rPr>
          <w:b/>
        </w:rPr>
      </w:pPr>
      <w:r>
        <w:rPr>
          <w:rFonts w:hint="eastAsia" w:ascii="黑体" w:eastAsia="黑体"/>
        </w:rPr>
        <w:t>3</w:t>
      </w:r>
      <w:r>
        <w:rPr>
          <w:rFonts w:ascii="黑体" w:eastAsia="黑体"/>
        </w:rPr>
        <w:t>.</w:t>
      </w:r>
      <w:r>
        <w:rPr>
          <w:rFonts w:hint="eastAsia" w:ascii="黑体" w:eastAsia="黑体"/>
        </w:rPr>
        <w:t>3</w:t>
      </w:r>
      <w:r>
        <w:rPr>
          <w:rFonts w:ascii="黑体" w:eastAsia="黑体"/>
        </w:rPr>
        <w:t xml:space="preserve"> </w:t>
      </w:r>
      <w:r>
        <w:rPr>
          <w:rFonts w:eastAsia="黑体"/>
          <w:szCs w:val="21"/>
        </w:rPr>
        <w:t>技术可行性分析及创新说明</w:t>
      </w:r>
      <w:r>
        <w:rPr>
          <w:rFonts w:hint="eastAsia"/>
          <w:sz w:val="28"/>
        </w:rPr>
        <w:tab/>
      </w:r>
      <w:r>
        <w:rPr>
          <w:rFonts w:hint="eastAsia" w:hAnsi="宋体"/>
          <w:bCs/>
        </w:rPr>
        <w:t>66</w:t>
      </w:r>
    </w:p>
    <w:p w14:paraId="17EA77BD">
      <w:pPr>
        <w:tabs>
          <w:tab w:val="right" w:leader="dot" w:pos="8280"/>
        </w:tabs>
        <w:spacing w:line="400" w:lineRule="exact"/>
        <w:rPr>
          <w:rFonts w:hint="eastAsia" w:ascii="黑体" w:hAnsi="黑体" w:eastAsia="黑体" w:cs="黑体"/>
        </w:rPr>
      </w:pPr>
      <w:r>
        <w:rPr>
          <w:rFonts w:hint="eastAsia"/>
        </w:rPr>
        <w:t xml:space="preserve">    </w:t>
      </w:r>
      <w:r>
        <w:rPr>
          <w:rFonts w:hint="eastAsia" w:ascii="黑体" w:hAnsi="黑体" w:eastAsia="黑体" w:cs="黑体"/>
        </w:rPr>
        <w:t xml:space="preserve">3.3.1 </w:t>
      </w:r>
      <w:r>
        <w:rPr>
          <w:rFonts w:hint="eastAsia" w:ascii="黑体" w:hAnsi="黑体" w:eastAsia="黑体" w:cs="黑体"/>
          <w:lang w:val="en-US" w:eastAsia="zh-CN"/>
        </w:rPr>
        <w:t>技术可行性分析</w:t>
      </w:r>
      <w:r>
        <w:rPr>
          <w:rFonts w:hint="eastAsia" w:ascii="黑体" w:hAnsi="黑体" w:eastAsia="黑体" w:cs="黑体"/>
          <w:sz w:val="28"/>
        </w:rPr>
        <w:tab/>
      </w:r>
      <w:r>
        <w:rPr>
          <w:rFonts w:hint="eastAsia" w:ascii="黑体" w:hAnsi="黑体" w:eastAsia="黑体" w:cs="黑体"/>
          <w:bCs/>
        </w:rPr>
        <w:t>67</w:t>
      </w:r>
    </w:p>
    <w:p w14:paraId="19003B4B">
      <w:pPr>
        <w:tabs>
          <w:tab w:val="right" w:leader="dot" w:pos="8280"/>
        </w:tabs>
        <w:spacing w:line="400" w:lineRule="exact"/>
        <w:ind w:firstLine="420"/>
        <w:rPr>
          <w:rFonts w:hint="eastAsia" w:hAnsi="宋体"/>
          <w:bCs/>
        </w:rPr>
      </w:pPr>
      <w:r>
        <w:rPr>
          <w:rFonts w:hint="eastAsia" w:ascii="黑体" w:hAnsi="黑体" w:eastAsia="黑体" w:cs="黑体"/>
        </w:rPr>
        <w:t>3.3.2</w:t>
      </w:r>
      <w:r>
        <w:rPr>
          <w:rFonts w:hint="eastAsia" w:ascii="黑体" w:hAnsi="黑体" w:eastAsia="黑体" w:cs="黑体"/>
          <w:lang w:val="en-US" w:eastAsia="zh-CN"/>
        </w:rPr>
        <w:t xml:space="preserve"> 创新说明</w:t>
      </w:r>
      <w:r>
        <w:rPr>
          <w:rFonts w:hint="eastAsia"/>
          <w:sz w:val="28"/>
        </w:rPr>
        <w:tab/>
      </w:r>
      <w:r>
        <w:rPr>
          <w:rFonts w:hint="eastAsia" w:hAnsi="宋体"/>
          <w:bCs/>
        </w:rPr>
        <w:t>68</w:t>
      </w:r>
    </w:p>
    <w:p w14:paraId="38EF777A">
      <w:pPr>
        <w:tabs>
          <w:tab w:val="right" w:leader="dot" w:pos="8280"/>
        </w:tabs>
        <w:spacing w:line="400" w:lineRule="exact"/>
        <w:ind w:left="107" w:hanging="107"/>
        <w:rPr>
          <w:b/>
          <w:sz w:val="28"/>
        </w:rPr>
      </w:pPr>
    </w:p>
    <w:p w14:paraId="55C744E2">
      <w:pPr>
        <w:tabs>
          <w:tab w:val="right" w:leader="dot" w:pos="8280"/>
        </w:tabs>
        <w:spacing w:line="400" w:lineRule="exact"/>
        <w:ind w:left="107" w:hanging="107"/>
        <w:rPr>
          <w:b/>
          <w:sz w:val="28"/>
        </w:rPr>
      </w:pPr>
    </w:p>
    <w:p w14:paraId="58AA6977">
      <w:pPr>
        <w:tabs>
          <w:tab w:val="right" w:leader="dot" w:pos="8280"/>
        </w:tabs>
        <w:spacing w:line="400" w:lineRule="exact"/>
        <w:rPr>
          <w:b/>
          <w:sz w:val="28"/>
        </w:rPr>
      </w:pPr>
      <w:r>
        <w:rPr>
          <w:rFonts w:hint="eastAsia" w:ascii="黑体" w:eastAsia="黑体"/>
          <w:sz w:val="28"/>
        </w:rPr>
        <w:t xml:space="preserve">4 </w:t>
      </w:r>
      <w:r>
        <w:rPr>
          <w:rFonts w:eastAsia="黑体"/>
          <w:sz w:val="28"/>
          <w:szCs w:val="28"/>
        </w:rPr>
        <w:t>总结</w:t>
      </w:r>
      <w:r>
        <w:rPr>
          <w:rFonts w:hint="eastAsia"/>
          <w:sz w:val="28"/>
        </w:rPr>
        <w:tab/>
      </w:r>
      <w:r>
        <w:rPr>
          <w:rFonts w:hint="eastAsia" w:hAnsi="宋体"/>
          <w:bCs/>
        </w:rPr>
        <w:t>72</w:t>
      </w:r>
    </w:p>
    <w:p w14:paraId="1C9CF27E">
      <w:pPr>
        <w:tabs>
          <w:tab w:val="right" w:leader="dot" w:pos="8280"/>
        </w:tabs>
        <w:spacing w:line="400" w:lineRule="exact"/>
        <w:rPr>
          <w:rFonts w:hint="eastAsia" w:hAnsi="宋体"/>
          <w:bCs/>
        </w:rPr>
      </w:pPr>
      <w:r>
        <w:rPr>
          <w:rFonts w:hint="eastAsia"/>
          <w:b/>
        </w:rPr>
        <w:t xml:space="preserve"> </w:t>
      </w:r>
      <w:r>
        <w:rPr>
          <w:rFonts w:hint="eastAsia" w:ascii="黑体" w:eastAsia="黑体"/>
        </w:rPr>
        <w:t xml:space="preserve"> 4.1 </w:t>
      </w:r>
      <w:r>
        <w:rPr>
          <w:rFonts w:eastAsia="黑体"/>
          <w:szCs w:val="21"/>
        </w:rPr>
        <w:t>作品展示</w:t>
      </w:r>
      <w:r>
        <w:rPr>
          <w:rFonts w:hint="eastAsia"/>
          <w:sz w:val="28"/>
        </w:rPr>
        <w:tab/>
      </w:r>
      <w:r>
        <w:rPr>
          <w:rFonts w:hint="eastAsia" w:hAnsi="宋体"/>
          <w:bCs/>
        </w:rPr>
        <w:t>73</w:t>
      </w:r>
    </w:p>
    <w:p w14:paraId="63044C51">
      <w:pPr>
        <w:tabs>
          <w:tab w:val="right" w:leader="dot" w:pos="8280"/>
        </w:tabs>
        <w:spacing w:line="400" w:lineRule="exact"/>
        <w:ind w:firstLine="210" w:firstLineChars="100"/>
        <w:rPr>
          <w:rFonts w:hint="eastAsia" w:hAnsi="宋体"/>
          <w:bCs/>
        </w:rPr>
      </w:pPr>
      <w:r>
        <w:rPr>
          <w:rFonts w:hint="eastAsia" w:ascii="黑体" w:eastAsia="黑体"/>
        </w:rPr>
        <w:t>4.</w:t>
      </w:r>
      <w:r>
        <w:rPr>
          <w:rFonts w:hint="eastAsia" w:ascii="黑体" w:eastAsia="黑体"/>
          <w:lang w:val="en-US" w:eastAsia="zh-CN"/>
        </w:rPr>
        <w:t>2</w:t>
      </w:r>
      <w:r>
        <w:rPr>
          <w:rFonts w:hint="eastAsia" w:ascii="黑体" w:eastAsia="黑体"/>
        </w:rPr>
        <w:t xml:space="preserve"> </w:t>
      </w:r>
      <w:r>
        <w:rPr>
          <w:rFonts w:hint="eastAsia" w:ascii="黑体" w:eastAsia="黑体"/>
          <w:lang w:val="en-US" w:eastAsia="zh-CN"/>
        </w:rPr>
        <w:t>应用场景及价值</w:t>
      </w:r>
      <w:r>
        <w:rPr>
          <w:rFonts w:hint="eastAsia"/>
          <w:sz w:val="28"/>
        </w:rPr>
        <w:tab/>
      </w:r>
      <w:r>
        <w:rPr>
          <w:rFonts w:hint="eastAsia" w:hAnsi="宋体"/>
          <w:bCs/>
        </w:rPr>
        <w:t>73</w:t>
      </w:r>
    </w:p>
    <w:p w14:paraId="4C0F93B4">
      <w:pPr>
        <w:tabs>
          <w:tab w:val="right" w:leader="dot" w:pos="8280"/>
        </w:tabs>
        <w:spacing w:line="400" w:lineRule="exact"/>
        <w:ind w:firstLine="210" w:firstLineChars="100"/>
        <w:rPr>
          <w:rFonts w:hint="eastAsia" w:hAnsi="宋体"/>
          <w:b/>
        </w:rPr>
      </w:pPr>
      <w:r>
        <w:rPr>
          <w:rFonts w:hint="eastAsia" w:ascii="黑体" w:eastAsia="黑体"/>
        </w:rPr>
        <w:t>4.</w:t>
      </w:r>
      <w:r>
        <w:rPr>
          <w:rFonts w:hint="eastAsia" w:ascii="黑体" w:eastAsia="黑体"/>
          <w:lang w:val="en-US" w:eastAsia="zh-CN"/>
        </w:rPr>
        <w:t>3</w:t>
      </w:r>
      <w:r>
        <w:rPr>
          <w:rFonts w:hint="eastAsia" w:ascii="黑体" w:eastAsia="黑体"/>
        </w:rPr>
        <w:t xml:space="preserve"> </w:t>
      </w:r>
      <w:r>
        <w:rPr>
          <w:rFonts w:eastAsia="黑体"/>
          <w:szCs w:val="21"/>
        </w:rPr>
        <w:t>展望</w:t>
      </w:r>
      <w:r>
        <w:rPr>
          <w:rFonts w:hint="eastAsia"/>
          <w:sz w:val="28"/>
        </w:rPr>
        <w:tab/>
      </w:r>
      <w:r>
        <w:rPr>
          <w:rFonts w:hint="eastAsia" w:hAnsi="宋体"/>
          <w:bCs/>
        </w:rPr>
        <w:t>74</w:t>
      </w:r>
    </w:p>
    <w:p w14:paraId="0CA2489F">
      <w:pPr>
        <w:tabs>
          <w:tab w:val="right" w:leader="dot" w:pos="8280"/>
        </w:tabs>
        <w:spacing w:line="400" w:lineRule="exact"/>
        <w:rPr>
          <w:rFonts w:hint="eastAsia" w:hAnsi="宋体"/>
          <w:bCs/>
        </w:rPr>
      </w:pPr>
      <w:r>
        <w:rPr>
          <w:rFonts w:hint="eastAsia" w:hAnsi="宋体"/>
          <w:b/>
        </w:rPr>
        <w:t xml:space="preserve">    </w:t>
      </w:r>
    </w:p>
    <w:p w14:paraId="4338AA48">
      <w:pPr>
        <w:tabs>
          <w:tab w:val="right" w:leader="dot" w:pos="8280"/>
        </w:tabs>
        <w:spacing w:line="400" w:lineRule="exact"/>
        <w:rPr>
          <w:rFonts w:hint="eastAsia" w:hAnsi="宋体"/>
          <w:b/>
        </w:rPr>
        <w:sectPr>
          <w:type w:val="continuous"/>
          <w:pgSz w:w="11906" w:h="16838"/>
          <w:pgMar w:top="1701" w:right="1418" w:bottom="1418" w:left="1418" w:header="907" w:footer="851" w:gutter="567"/>
          <w:pgNumType w:fmt="upperRoman"/>
          <w:cols w:space="425" w:num="1"/>
          <w:docGrid w:type="linesAndChars" w:linePitch="312" w:charSpace="0"/>
        </w:sectPr>
      </w:pPr>
    </w:p>
    <w:p w14:paraId="597856D6">
      <w:pPr>
        <w:tabs>
          <w:tab w:val="right" w:leader="dot" w:pos="8280"/>
        </w:tabs>
        <w:spacing w:line="400" w:lineRule="exact"/>
        <w:rPr>
          <w:rFonts w:hint="eastAsia" w:hAnsi="宋体"/>
          <w:b/>
        </w:rPr>
      </w:pPr>
    </w:p>
    <w:p w14:paraId="266FC1D1">
      <w:pPr>
        <w:tabs>
          <w:tab w:val="right" w:leader="dot" w:pos="8280"/>
        </w:tabs>
        <w:spacing w:line="400" w:lineRule="exact"/>
        <w:jc w:val="center"/>
        <w:rPr>
          <w:rFonts w:hint="default" w:ascii="黑体" w:eastAsia="黑体"/>
          <w:sz w:val="32"/>
          <w:lang w:val="en-US" w:eastAsia="zh-CN"/>
        </w:rPr>
      </w:pPr>
      <w:r>
        <w:rPr>
          <w:rFonts w:hint="eastAsia" w:ascii="黑体" w:eastAsia="黑体"/>
          <w:sz w:val="32"/>
          <w:lang w:val="en-US" w:eastAsia="zh-CN"/>
        </w:rPr>
        <w:t>1</w:t>
      </w:r>
      <w:r>
        <w:rPr>
          <w:rFonts w:hint="eastAsia" w:ascii="黑体" w:eastAsia="黑体"/>
          <w:sz w:val="32"/>
        </w:rPr>
        <w:t xml:space="preserve">  </w:t>
      </w:r>
      <w:r>
        <w:rPr>
          <w:rFonts w:hint="eastAsia" w:ascii="黑体" w:eastAsia="黑体"/>
          <w:sz w:val="32"/>
          <w:lang w:val="en-US" w:eastAsia="zh-CN"/>
        </w:rPr>
        <w:t>作品概述</w:t>
      </w:r>
    </w:p>
    <w:p w14:paraId="67E43048">
      <w:pPr>
        <w:spacing w:line="400" w:lineRule="exact"/>
        <w:rPr>
          <w:rFonts w:hint="eastAsia" w:ascii="黑体" w:eastAsia="黑体"/>
          <w:sz w:val="30"/>
        </w:rPr>
      </w:pPr>
    </w:p>
    <w:p w14:paraId="4B9C2601">
      <w:pPr>
        <w:spacing w:line="400" w:lineRule="exact"/>
        <w:rPr>
          <w:rFonts w:hint="eastAsia" w:ascii="黑体" w:eastAsia="黑体"/>
          <w:sz w:val="30"/>
        </w:rPr>
      </w:pPr>
      <w:r>
        <w:rPr>
          <w:rFonts w:hint="eastAsia" w:ascii="黑体" w:eastAsia="黑体"/>
          <w:sz w:val="30"/>
          <w:lang w:val="en-US" w:eastAsia="zh-CN"/>
        </w:rPr>
        <w:t>1</w:t>
      </w:r>
      <w:r>
        <w:rPr>
          <w:rFonts w:hint="eastAsia" w:ascii="黑体" w:eastAsia="黑体"/>
          <w:sz w:val="30"/>
        </w:rPr>
        <w:t>.1背景</w:t>
      </w:r>
      <w:r>
        <w:rPr>
          <w:rFonts w:hint="eastAsia" w:ascii="黑体" w:eastAsia="黑体"/>
          <w:sz w:val="30"/>
          <w:lang w:val="en-US" w:eastAsia="zh-CN"/>
        </w:rPr>
        <w:t>与问题定位</w:t>
      </w:r>
      <w:r>
        <w:rPr>
          <w:rFonts w:hint="eastAsia" w:ascii="黑体" w:eastAsia="黑体"/>
          <w:sz w:val="30"/>
        </w:rPr>
        <w:t xml:space="preserve">  </w:t>
      </w:r>
    </w:p>
    <w:p w14:paraId="08505525">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注意力障碍不是单一疾病中的局部症状，而是一类跨诊断、跨年龄段、跨场景的功能问题。ADHD 是最典型的人群之一。世界 ADHD 联盟共识报告指出，ADHD 约影响 5.9% 的青少年和 2.5% 的成年人</w:t>
      </w:r>
      <w:r>
        <w:rPr>
          <w:rFonts w:hint="eastAsia" w:ascii="宋体" w:hAnsi="宋体" w:eastAsia="宋体" w:cs="宋体"/>
          <w:sz w:val="24"/>
          <w:szCs w:val="24"/>
          <w:vertAlign w:val="superscript"/>
        </w:rPr>
        <w:t>[1]</w:t>
      </w:r>
      <w:r>
        <w:rPr>
          <w:rFonts w:hint="eastAsia" w:ascii="宋体" w:hAnsi="宋体" w:eastAsia="宋体" w:cs="宋体"/>
          <w:sz w:val="24"/>
          <w:szCs w:val="24"/>
        </w:rPr>
        <w:t>；美国 CDC 2022 年调查显示，3-17 岁儿童中约 11.4% 曾被诊断为 ADHD</w:t>
      </w:r>
      <w:r>
        <w:rPr>
          <w:rFonts w:hint="eastAsia" w:ascii="宋体" w:hAnsi="宋体" w:eastAsia="宋体" w:cs="宋体"/>
          <w:sz w:val="24"/>
          <w:szCs w:val="24"/>
          <w:vertAlign w:val="superscript"/>
        </w:rPr>
        <w:t>[2]</w:t>
      </w:r>
      <w:r>
        <w:rPr>
          <w:rFonts w:hint="eastAsia" w:ascii="宋体" w:hAnsi="宋体" w:eastAsia="宋体" w:cs="宋体"/>
          <w:sz w:val="24"/>
          <w:szCs w:val="24"/>
        </w:rPr>
        <w:t>。除 ADHD 外，孤独症谱系障碍儿童常伴随选择性注意、共同注意和抗干扰困难；世界卫生组织近年估计，全球约每 127 人中有 1 人处于孤独症谱系</w:t>
      </w:r>
      <w:r>
        <w:rPr>
          <w:rFonts w:hint="eastAsia" w:ascii="宋体" w:hAnsi="宋体" w:eastAsia="宋体" w:cs="宋体"/>
          <w:sz w:val="24"/>
          <w:szCs w:val="24"/>
          <w:vertAlign w:val="superscript"/>
        </w:rPr>
        <w:t>[3]</w:t>
      </w:r>
      <w:r>
        <w:rPr>
          <w:rFonts w:hint="eastAsia" w:ascii="宋体" w:hAnsi="宋体" w:eastAsia="宋体" w:cs="宋体"/>
          <w:sz w:val="24"/>
          <w:szCs w:val="24"/>
        </w:rPr>
        <w:t>。卒中后注意功能下降同样常见，注意、执行功能和加工速度障碍会影响患者的康复参与、日常活动和重返工作能力</w:t>
      </w:r>
      <w:r>
        <w:rPr>
          <w:rFonts w:hint="eastAsia" w:ascii="宋体" w:hAnsi="宋体" w:eastAsia="宋体" w:cs="宋体"/>
          <w:sz w:val="24"/>
          <w:szCs w:val="24"/>
          <w:vertAlign w:val="superscript"/>
        </w:rPr>
        <w:t>[4]</w:t>
      </w:r>
      <w:r>
        <w:rPr>
          <w:rFonts w:hint="eastAsia" w:ascii="宋体" w:hAnsi="宋体" w:eastAsia="宋体" w:cs="宋体"/>
          <w:sz w:val="24"/>
          <w:szCs w:val="24"/>
        </w:rPr>
        <w:t>。这些人群面对的困难并不只是"容易走神"，而是学习、社交、康复和生活自理中的真实功能受限。</w:t>
      </w:r>
    </w:p>
    <w:p w14:paraId="36575FFB">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现有注意力干预方法各有价值，但仍留下了明显空白。药物治疗对 ADHD 核心症状有效，但并不适合所有用户，且依从性、副作用、长期管理成本和家长接受度都需要被认真考虑。认知行为治疗、作业治疗和传统注意训练强调行为策略，通常需要专业人员持续参与，训练效果容易受到动机、家庭支持和场景迁移能力影响。EEG 神经反馈提供了一条非药物、可闭环的训练路线，但许多方案仍依赖前额叶 beta 功率或 theta/beta 比值作为"专注度"指标。这类指标能够反映一定程度的警觉和认知唤醒，却很难回答一个更具体的问题：用户的注意力此刻到底指向哪个空间目标。</w:t>
      </w:r>
    </w:p>
    <w:p w14:paraId="2E139BC9">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临床训练真正关心的往往正是这个问题。ADHD 儿童在课堂中并不是完全没有注意力，而是容易被窗外声音、同伴动作、屏幕变化等高显著刺激带走；孤独症儿童并不是看不见任务目标，而是常常难以在社会线索、视觉目标和背景干扰之间稳定分配注意；卒中后患者也可能不是不能看，而是在复杂场景中难以持续搜索、忽略无关刺激或在目标移动后及时更新注意位置。换言之，很多注意困难不是"总体激活水平低"，而是"注意资源没有稳定落在正确目标上"。如果训练系统只能给出一个整体分数，就很难刻画这种空间指向性问题。</w:t>
      </w:r>
    </w:p>
    <w:p w14:paraId="37F32E77">
      <w:pPr>
        <w:spacing w:before="60" w:after="60" w:line="360" w:lineRule="auto"/>
        <w:ind w:firstLine="480"/>
        <w:rPr>
          <w:rFonts w:hint="eastAsia" w:ascii="宋体" w:hAnsi="宋体" w:eastAsia="宋体" w:cs="宋体"/>
          <w:sz w:val="24"/>
          <w:szCs w:val="24"/>
        </w:rPr>
      </w:pPr>
    </w:p>
    <w:p w14:paraId="55C0103C">
      <w:pPr>
        <w:spacing w:line="400" w:lineRule="exact"/>
        <w:rPr>
          <w:rFonts w:hint="eastAsia" w:ascii="黑体" w:eastAsia="黑体"/>
          <w:sz w:val="30"/>
        </w:rPr>
      </w:pPr>
      <w:r>
        <w:rPr>
          <w:rFonts w:hint="eastAsia" w:ascii="黑体" w:eastAsia="黑体"/>
          <w:sz w:val="30"/>
          <w:lang w:val="en-US" w:eastAsia="zh-CN"/>
        </w:rPr>
        <w:t xml:space="preserve">1.2 </w:t>
      </w:r>
      <w:r>
        <w:rPr>
          <w:rFonts w:hint="eastAsia" w:ascii="黑体" w:eastAsia="黑体"/>
          <w:sz w:val="30"/>
        </w:rPr>
        <w:t>研究基础</w:t>
      </w:r>
      <w:r>
        <w:rPr>
          <w:rFonts w:hint="eastAsia" w:ascii="黑体" w:eastAsia="黑体"/>
          <w:sz w:val="30"/>
        </w:rPr>
        <w:t xml:space="preserve">  </w:t>
      </w:r>
    </w:p>
    <w:p w14:paraId="57EE0E4F">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稳态视觉诱发电位（steady-state visual evoked potential, SSVEP）为这一问题提供了合适的工程入口。当用户注视或注意一个以固定频率闪烁的视觉目标时，枕叶视觉皮层会产生同频率及其谐波成分的稳态脑电响应。Morgan、Hansen 和 Hillyard 早在 1996 年即证明，空间选择性注意能够调制 SSVEP 幅值</w:t>
      </w:r>
      <w:r>
        <w:rPr>
          <w:rFonts w:hint="eastAsia" w:ascii="宋体" w:hAnsi="宋体" w:eastAsia="宋体" w:cs="宋体"/>
          <w:sz w:val="24"/>
          <w:szCs w:val="24"/>
          <w:vertAlign w:val="superscript"/>
        </w:rPr>
        <w:t>[5]</w:t>
      </w:r>
      <w:r>
        <w:rPr>
          <w:rFonts w:hint="eastAsia" w:ascii="宋体" w:hAnsi="宋体" w:eastAsia="宋体" w:cs="宋体"/>
          <w:sz w:val="24"/>
          <w:szCs w:val="24"/>
        </w:rPr>
        <w:t>；Kim 等进一步指出，注意会带来与同步化相关的 response gain</w:t>
      </w:r>
      <w:r>
        <w:rPr>
          <w:rFonts w:hint="eastAsia" w:ascii="宋体" w:hAnsi="宋体" w:eastAsia="宋体" w:cs="宋体"/>
          <w:sz w:val="24"/>
          <w:szCs w:val="24"/>
          <w:vertAlign w:val="superscript"/>
        </w:rPr>
        <w:t>[6]</w:t>
      </w:r>
      <w:r>
        <w:rPr>
          <w:rFonts w:hint="eastAsia" w:ascii="宋体" w:hAnsi="宋体" w:eastAsia="宋体" w:cs="宋体"/>
          <w:sz w:val="24"/>
          <w:szCs w:val="24"/>
        </w:rPr>
        <w:t>。因此，SSVEP 不只是视觉刺激诱发信号，也可作为空间注意分配的读出。不同目标使用不同频率标记后，系统可以估计用户把注意力分给了目标还是干扰项。</w:t>
      </w:r>
    </w:p>
    <w:p w14:paraId="304A4142">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SSVEP 的优势在于三个方面。第一，它的频域特征明确，信号锁定在刺激频率及其谐波上，便于在少通道 EEG 条件下提取。第二，它天然具备空间指向性，同一画面中不同空间位置可以使用不同频率进行标记，系统不只知道用户是否"专注"，还可以估计用户是否专注在指定目标上。第三，它适合构成实时闭环。已有研究表明，SSVE</w:t>
      </w:r>
      <w:r>
        <w:rPr>
          <w:rFonts w:hint="eastAsia" w:ascii="宋体" w:hAnsi="宋体" w:eastAsia="宋体" w:cs="宋体"/>
          <w:sz w:val="24"/>
          <w:szCs w:val="24"/>
        </w:rPr>
        <w:t>P 功率动态可以作为注意状态的实时读出，并与行为表现相关[10]；也有研究将 SSVEP 神经反馈用于注意偏向训练的概念验证[11]。这些工作为本项目提供了科学基础。</w:t>
      </w:r>
    </w:p>
    <w:p w14:paraId="348D3A90">
      <w:pPr>
        <w:spacing w:before="60" w:after="60" w:line="360" w:lineRule="auto"/>
        <w:ind w:firstLine="480"/>
        <w:rPr>
          <w:rFonts w:hint="eastAsia" w:ascii="宋体" w:hAnsi="宋体" w:eastAsia="宋体" w:cs="宋体"/>
          <w:sz w:val="24"/>
          <w:szCs w:val="24"/>
          <w:lang w:val="en-US" w:eastAsia="zh-CN"/>
        </w:rPr>
      </w:pPr>
    </w:p>
    <w:p w14:paraId="2315402D">
      <w:pPr>
        <w:spacing w:line="400" w:lineRule="exact"/>
        <w:rPr>
          <w:rFonts w:hint="eastAsia" w:ascii="黑体" w:eastAsia="黑体"/>
          <w:sz w:val="30"/>
        </w:rPr>
      </w:pPr>
      <w:r>
        <w:rPr>
          <w:rFonts w:hint="eastAsia" w:ascii="黑体" w:eastAsia="黑体"/>
          <w:sz w:val="30"/>
        </w:rPr>
        <w:t>1.</w:t>
      </w:r>
      <w:r>
        <w:rPr>
          <w:rFonts w:hint="eastAsia" w:ascii="黑体" w:eastAsia="黑体"/>
          <w:sz w:val="30"/>
          <w:lang w:val="en-US" w:eastAsia="zh-CN"/>
        </w:rPr>
        <w:t>3</w:t>
      </w:r>
      <w:r>
        <w:rPr>
          <w:rFonts w:hint="eastAsia" w:ascii="黑体" w:eastAsia="黑体"/>
          <w:sz w:val="30"/>
        </w:rPr>
        <w:t xml:space="preserve"> 研究目标</w:t>
      </w:r>
    </w:p>
    <w:p w14:paraId="54844A5D">
      <w:pPr>
        <w:spacing w:before="60" w:after="60" w:line="360" w:lineRule="auto"/>
        <w:ind w:firstLine="480"/>
        <w:rPr>
          <w:rFonts w:hint="eastAsia" w:ascii="宋体" w:hAnsi="宋体" w:eastAsia="宋体" w:cs="宋体"/>
          <w:sz w:val="24"/>
          <w:szCs w:val="24"/>
          <w:lang w:eastAsia="zh-CN"/>
        </w:rPr>
      </w:pPr>
      <w:r>
        <w:rPr>
          <w:rFonts w:hint="eastAsia" w:ascii="宋体" w:hAnsi="宋体" w:eastAsia="宋体" w:cs="宋体"/>
          <w:sz w:val="24"/>
          <w:szCs w:val="24"/>
        </w:rPr>
        <w:t>本项目</w:t>
      </w:r>
      <w:r>
        <w:rPr>
          <w:rFonts w:hint="eastAsia" w:ascii="宋体" w:hAnsi="宋体" w:eastAsia="宋体" w:cs="宋体"/>
          <w:sz w:val="24"/>
          <w:szCs w:val="24"/>
          <w:lang w:val="en-US" w:eastAsia="zh-CN"/>
        </w:rPr>
        <w:t>计划</w:t>
      </w:r>
      <w:r>
        <w:rPr>
          <w:rFonts w:hint="eastAsia" w:ascii="宋体" w:hAnsi="宋体" w:eastAsia="宋体" w:cs="宋体"/>
          <w:sz w:val="24"/>
          <w:szCs w:val="24"/>
        </w:rPr>
        <w:t>选择 SSVEP 作为核心范式</w:t>
      </w:r>
      <w:r>
        <w:rPr>
          <w:rFonts w:hint="eastAsia" w:ascii="宋体" w:hAnsi="宋体" w:eastAsia="宋体" w:cs="宋体"/>
          <w:sz w:val="24"/>
          <w:szCs w:val="24"/>
          <w:lang w:eastAsia="zh-CN"/>
        </w:rPr>
        <w:t>，</w:t>
      </w:r>
      <w:r>
        <w:rPr>
          <w:rFonts w:hint="eastAsia" w:ascii="宋体" w:hAnsi="宋体" w:eastAsia="宋体" w:cs="宋体"/>
          <w:sz w:val="24"/>
          <w:szCs w:val="24"/>
        </w:rPr>
        <w:t>依托赛题一提供的可穿戴脑电头环和 HybridBCI 科研科创平台，构建一个可穿戴、可演示、可逐步验证的脑机接口应用系统。</w:t>
      </w:r>
      <w:r>
        <w:rPr>
          <w:rFonts w:hint="eastAsia" w:ascii="宋体" w:hAnsi="宋体" w:eastAsia="宋体" w:cs="宋体"/>
          <w:sz w:val="24"/>
          <w:szCs w:val="24"/>
          <w:lang w:val="en-US" w:eastAsia="zh-CN"/>
        </w:rPr>
        <w:t>项目</w:t>
      </w:r>
      <w:r>
        <w:rPr>
          <w:rFonts w:hint="eastAsia" w:ascii="宋体" w:hAnsi="宋体" w:eastAsia="宋体" w:cs="宋体"/>
          <w:sz w:val="24"/>
          <w:szCs w:val="24"/>
        </w:rPr>
        <w:t>聚焦于"空间选择性注意、持续注视、抗干扰和动态追踪"这几类更适合用 SSVEP 量化和训练的能力。项目定位为注意力训练与评估辅助工具，不替代临床诊断和治疗</w:t>
      </w:r>
      <w:r>
        <w:rPr>
          <w:rFonts w:hint="eastAsia" w:ascii="宋体" w:hAnsi="宋体" w:eastAsia="宋体" w:cs="宋体"/>
          <w:sz w:val="24"/>
          <w:szCs w:val="24"/>
          <w:lang w:eastAsia="zh-CN"/>
        </w:rPr>
        <w:t>。</w:t>
      </w:r>
    </w:p>
    <w:p w14:paraId="2044A479">
      <w:pPr>
        <w:spacing w:before="60" w:after="60" w:line="360" w:lineRule="auto"/>
        <w:ind w:firstLine="480"/>
        <w:rPr>
          <w:rFonts w:hint="eastAsia" w:ascii="宋体" w:hAnsi="宋体" w:eastAsia="宋体" w:cs="宋体"/>
          <w:sz w:val="24"/>
          <w:szCs w:val="24"/>
          <w:lang w:eastAsia="zh-CN"/>
        </w:rPr>
      </w:pPr>
    </w:p>
    <w:p w14:paraId="35EA6B48">
      <w:pPr>
        <w:spacing w:line="400" w:lineRule="exact"/>
        <w:jc w:val="center"/>
        <w:rPr>
          <w:rFonts w:hint="eastAsia" w:ascii="黑体" w:eastAsia="黑体"/>
          <w:sz w:val="32"/>
          <w:lang w:val="en-US" w:eastAsia="zh-CN"/>
        </w:rPr>
      </w:pPr>
      <w:r>
        <w:rPr>
          <w:rFonts w:hint="eastAsia" w:ascii="黑体" w:eastAsia="黑体"/>
          <w:sz w:val="32"/>
          <w:lang w:val="en-US" w:eastAsia="zh-CN"/>
        </w:rPr>
        <w:t>2</w:t>
      </w:r>
      <w:r>
        <w:rPr>
          <w:rFonts w:hint="eastAsia" w:ascii="黑体" w:eastAsia="黑体"/>
          <w:sz w:val="32"/>
        </w:rPr>
        <w:t xml:space="preserve">  </w:t>
      </w:r>
      <w:r>
        <w:rPr>
          <w:rFonts w:hint="eastAsia" w:ascii="黑体" w:eastAsia="黑体"/>
          <w:sz w:val="32"/>
          <w:lang w:val="en-US" w:eastAsia="zh-CN"/>
        </w:rPr>
        <w:t>作品方案设计及实现</w:t>
      </w:r>
    </w:p>
    <w:p w14:paraId="426631EF">
      <w:pPr>
        <w:tabs>
          <w:tab w:val="right" w:leader="dot" w:pos="8280"/>
        </w:tabs>
        <w:spacing w:line="400" w:lineRule="exact"/>
        <w:rPr>
          <w:rFonts w:hint="eastAsia" w:ascii="黑体" w:eastAsia="黑体"/>
          <w:sz w:val="28"/>
          <w:szCs w:val="28"/>
          <w:lang w:val="en-US" w:eastAsia="zh-CN"/>
        </w:rPr>
      </w:pPr>
    </w:p>
    <w:p w14:paraId="1F1FE9AA">
      <w:pPr>
        <w:numPr>
          <w:ilvl w:val="1"/>
          <w:numId w:val="1"/>
        </w:numPr>
        <w:tabs>
          <w:tab w:val="right" w:leader="dot" w:pos="8280"/>
        </w:tabs>
        <w:spacing w:line="400" w:lineRule="exact"/>
        <w:rPr>
          <w:rFonts w:hint="eastAsia" w:ascii="黑体" w:eastAsia="黑体"/>
          <w:sz w:val="30"/>
          <w:szCs w:val="30"/>
        </w:rPr>
      </w:pPr>
      <w:r>
        <w:rPr>
          <w:rFonts w:hint="eastAsia" w:ascii="黑体" w:eastAsia="黑体"/>
          <w:sz w:val="30"/>
          <w:szCs w:val="30"/>
        </w:rPr>
        <w:t>作品实现的技术路线概述</w:t>
      </w:r>
    </w:p>
    <w:p w14:paraId="7EDE875A">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本项目选择 SSVEP 指令作为核心输入，面向注意力训练场景开发闭环交互应用。</w:t>
      </w:r>
    </w:p>
    <w:p w14:paraId="101086C5">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系统总体采用"采集—解码—评估—反馈"的闭环架构。脑电头环负责采集 O1、O2 等枕叶相关通道信号；HybridBCI 平台负责输出 SSVEP 指令或目标频率识别结果；应用层将该结果转换为注意力指标，例如目标频率响应强度、目标/干扰竞争指数、持续达标时间、分心次数和恢复时间；反馈层再把这些指标映射为视觉、声音和任务难度变化。系统不直接把脑电结果显示为分数，而是让用户通过场景变化感知自己的注意状态。</w:t>
      </w:r>
    </w:p>
    <w:p w14:paraId="7ADDBA2D">
      <w:pPr>
        <w:spacing w:before="200"/>
        <w:jc w:val="center"/>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4572000" cy="4410075"/>
            <wp:effectExtent l="0" t="0" r="0" b="0"/>
            <wp:docPr id="13" name="图1：系统总体架构图。系统由脑电采集、SSVEP 指令输出、注意指标计算和场景反馈四部分组成，形成&quot;采集—解码—评估—反馈&quot;的闭环。" descr="图1：系统总体架构图。系统由脑电采集、SSVEP 指令输出、注意指标计算和场景反馈四部分组成，形成&quot;采集—解码—评估—反馈&quot;的闭环。" title="图1：系统总体架构图。系统由脑电采集、SSVEP 指令输出、注意指标计算和场景反馈四部分组成，形成&quot;采集—解码—评估—反馈&quot;的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1：系统总体架构图。系统由脑电采集、SSVEP 指令输出、注意指标计算和场景反馈四部分组成，形成&quot;采集—解码—评估—反馈&quot;的闭环。" descr="图1：系统总体架构图。系统由脑电采集、SSVEP 指令输出、注意指标计算和场景反馈四部分组成，形成&quot;采集—解码—评估—反馈&quot;的闭环。" title="图1：系统总体架构图。系统由脑电采集、SSVEP 指令输出、注意指标计算和场景反馈四部分组成，形成&quot;采集—解码—评估—反馈&quot;的闭环。"/>
                    <pic:cNvPicPr>
                      <a:picLocks noChangeAspect="1" noChangeArrowheads="1"/>
                    </pic:cNvPicPr>
                  </pic:nvPicPr>
                  <pic:blipFill>
                    <a:blip r:embed="rId13"/>
                    <a:srcRect/>
                    <a:stretch>
                      <a:fillRect/>
                    </a:stretch>
                  </pic:blipFill>
                  <pic:spPr>
                    <a:xfrm>
                      <a:off x="0" y="0"/>
                      <a:ext cx="4572000" cy="4410075"/>
                    </a:xfrm>
                    <a:prstGeom prst="rect">
                      <a:avLst/>
                    </a:prstGeom>
                  </pic:spPr>
                </pic:pic>
              </a:graphicData>
            </a:graphic>
          </wp:inline>
        </w:drawing>
      </w:r>
    </w:p>
    <w:p w14:paraId="430A32BC">
      <w:pPr>
        <w:spacing w:before="100" w:after="200"/>
        <w:jc w:val="center"/>
        <w:rPr>
          <w:rFonts w:hint="eastAsia" w:ascii="宋体" w:hAnsi="宋体" w:eastAsia="宋体" w:cs="宋体"/>
          <w:sz w:val="21"/>
          <w:szCs w:val="21"/>
        </w:rPr>
      </w:pPr>
      <w:r>
        <w:rPr>
          <w:rFonts w:hint="eastAsia" w:ascii="宋体" w:hAnsi="宋体" w:eastAsia="宋体" w:cs="宋体"/>
          <w:sz w:val="21"/>
          <w:szCs w:val="21"/>
        </w:rPr>
        <w:t>图1：系统总体架构图。系统由脑电采集、SSVEP 指令输出、注意指标计算和场景反馈四部分组成，形成"采集—解码—评估—反馈"的闭环。</w:t>
      </w:r>
    </w:p>
    <w:p w14:paraId="71739D09">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这一架构有两个设计重点。第一，系统优先使用赛题允许调用的 SSVEP 指令输出，不自行实现底层解码算法。这样可以降低设备接入风险，把开发重点放在应用创新、任务设计和用户体验上。第二，系统在应用层保留进一步扩展的空间。即使初期只接入平台输出的目标识别结果，也可以逐步加入目标/干扰竞争指数、时序稳定性、分心恢复时间等训练指标，为后续评估和临床合作留下接口。</w:t>
      </w:r>
    </w:p>
    <w:p w14:paraId="49E27F65">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从用户流程看，系统由四个连续环节组成。第一步是设备连接与信号检查，确认头环连接、通道接触和枕叶信号质量；第二步是短时标定，确认当次训练中目标频率能够稳定诱发 SSVEP 响应；第三步是进入训练关卡，系统根据平台输出实时更新场景状态；第四步是训练后报告，汇总本次训练的有效专注时长、竞争指数、分心恢复时间和主观疲劳评分。这一流程避免了"戴上设备直接开始游戏"的粗糙体验，也让评委能够看到完整的脑机接口应用链路。</w:t>
      </w:r>
    </w:p>
    <w:p w14:paraId="49830066">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从系统边界看，本项目不是单纯的游戏。它更准确的定位是：基于可穿戴脑电和 SSVEP 指令输出的注意力训练应用原型。这个定位决定了系统必须同时满足三类要求：脑机接口链路要能闭环，训练任务要有认知功能依据，交互反馈要能被普通用户理解和长期接受。</w:t>
      </w:r>
    </w:p>
    <w:p w14:paraId="4DE7CFD9">
      <w:pPr>
        <w:spacing w:before="280" w:after="160" w:line="360" w:lineRule="auto"/>
        <w:rPr>
          <w:rFonts w:hint="eastAsia" w:ascii="黑体" w:hAnsi="黑体" w:eastAsia="黑体" w:cs="黑体"/>
          <w:b w:val="0"/>
          <w:bCs w:val="0"/>
          <w:sz w:val="28"/>
          <w:szCs w:val="28"/>
        </w:rPr>
      </w:pPr>
      <w:r>
        <w:rPr>
          <w:rFonts w:hint="eastAsia" w:ascii="黑体" w:hAnsi="黑体" w:eastAsia="黑体" w:cs="黑体"/>
          <w:b w:val="0"/>
          <w:bCs w:val="0"/>
          <w:sz w:val="28"/>
          <w:szCs w:val="28"/>
        </w:rPr>
        <w:t>2.1</w:t>
      </w:r>
      <w:r>
        <w:rPr>
          <w:rFonts w:hint="eastAsia" w:ascii="黑体" w:hAnsi="黑体" w:eastAsia="黑体" w:cs="黑体"/>
          <w:b w:val="0"/>
          <w:bCs w:val="0"/>
          <w:sz w:val="28"/>
          <w:szCs w:val="28"/>
          <w:lang w:val="en-US" w:eastAsia="zh-CN"/>
        </w:rPr>
        <w:t>.1</w:t>
      </w:r>
      <w:r>
        <w:rPr>
          <w:rFonts w:hint="eastAsia" w:ascii="黑体" w:hAnsi="黑体" w:eastAsia="黑体" w:cs="黑体"/>
          <w:b w:val="0"/>
          <w:bCs w:val="0"/>
          <w:sz w:val="28"/>
          <w:szCs w:val="28"/>
        </w:rPr>
        <w:t xml:space="preserve"> 硬件基础</w:t>
      </w:r>
    </w:p>
    <w:p w14:paraId="2DF4EAE9">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硬件部分使用赛方提供设备，不另行设计脑电采集硬件。据资料显示，头环包含 O1、O2、C3、C4 及前额参考/接触电极。其中 O1、O2 位于枕叶区，适合采集视觉皮层相关 SSVEP 信号；C3、C4 可作为后续多模态或辅助脑电特征扩展通道。设备通过蓝牙 5.0 与上位机连接，官方说明书给出的续航约 8 小时，裸机重量约 85g，具备可穿戴和现场演示可行性。</w:t>
      </w:r>
    </w:p>
    <w:p w14:paraId="65712202">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O1、O2、C3、C4 为氯化银电极，需要配合电极膏并确保穿过头发接触头皮；前额水凝胶电极用于参考与稳定接触。由于 SSVEP 训练对枕叶信号质量敏感，系统需要在训练前设置标定和信号检查流程。标定页面需要提示佩戴位置、电极接触、蓝牙连接、O1/O2 通道质量和当次训练可用性。这样可以避免因佩戴不良、头发阻隔、电极接触不充分导致误判。</w:t>
      </w:r>
    </w:p>
    <w:p w14:paraId="769D5339">
      <w:pPr>
        <w:spacing w:before="200"/>
        <w:jc w:val="center"/>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5075555" cy="6594475"/>
            <wp:effectExtent l="0" t="0" r="0" b="0"/>
            <wp:docPr id="903711865" name="图2：HNNK 五通道可穿戴脑电头环。图中硬件说明支持本项目使用 O1/O2 枕叶通道采集 SSVEP 信号，并体现系统对赛方硬件平台的适配。" descr="图2：HNNK 五通道可穿戴脑电头环。图中硬件说明支持本项目使用 O1/O2 枕叶通道采集 SSVEP 信号，并体现系统对赛方硬件平台的适配。" title="图2：HNNK 五通道可穿戴脑电头环。图中硬件说明支持本项目使用 O1/O2 枕叶通道采集 SSVEP 信号，并体现系统对赛方硬件平台的适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11865" name="图2：HNNK 五通道可穿戴脑电头环。图中硬件说明支持本项目使用 O1/O2 枕叶通道采集 SSVEP 信号，并体现系统对赛方硬件平台的适配。" descr="图2：HNNK 五通道可穿戴脑电头环。图中硬件说明支持本项目使用 O1/O2 枕叶通道采集 SSVEP 信号，并体现系统对赛方硬件平台的适配。" title="图2：HNNK 五通道可穿戴脑电头环。图中硬件说明支持本项目使用 O1/O2 枕叶通道采集 SSVEP 信号，并体现系统对赛方硬件平台的适配。"/>
                    <pic:cNvPicPr>
                      <a:picLocks noChangeAspect="1" noChangeArrowheads="1"/>
                    </pic:cNvPicPr>
                  </pic:nvPicPr>
                  <pic:blipFill>
                    <a:blip r:embed="rId14"/>
                    <a:srcRect b="8105"/>
                    <a:stretch>
                      <a:fillRect/>
                    </a:stretch>
                  </pic:blipFill>
                  <pic:spPr>
                    <a:xfrm>
                      <a:off x="0" y="0"/>
                      <a:ext cx="5155182" cy="6594475"/>
                    </a:xfrm>
                    <a:prstGeom prst="rect">
                      <a:avLst/>
                    </a:prstGeom>
                  </pic:spPr>
                </pic:pic>
              </a:graphicData>
            </a:graphic>
          </wp:inline>
        </w:drawing>
      </w:r>
    </w:p>
    <w:p w14:paraId="0B1D0E18">
      <w:pPr>
        <w:spacing w:before="100" w:after="200"/>
        <w:jc w:val="center"/>
        <w:rPr>
          <w:rFonts w:hint="eastAsia" w:ascii="宋体" w:hAnsi="宋体" w:eastAsia="宋体" w:cs="宋体"/>
          <w:sz w:val="21"/>
          <w:szCs w:val="21"/>
        </w:rPr>
      </w:pPr>
      <w:r>
        <w:rPr>
          <w:rFonts w:hint="eastAsia" w:ascii="宋体" w:hAnsi="宋体" w:eastAsia="宋体" w:cs="宋体"/>
          <w:sz w:val="21"/>
          <w:szCs w:val="21"/>
        </w:rPr>
        <w:t>图2：可穿戴脑电头环资料。图中硬件说明支持本项目使用 O1/O2 枕叶通道采集信号。</w:t>
      </w:r>
    </w:p>
    <w:p w14:paraId="696DD71F">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标定流程拟包含三项检查。第一是连接检查，确认系统能够稳定接收平台输出，避免训练中断。第二是通道检查，提示用户调整头环、电极膏和佩戴位置，直到 O1/O2 相关信号达到可用状态。第三是任务频率检查，短暂呈现目标刺激并读取平台 SSVEP 识别结果，判断当次训练是否适合进入正式关卡。如果检查失败，系统给出可操作的调整建议，例如重新压实枕叶电极、补充电极膏、降低环境光干扰或缩短训练时长。</w:t>
      </w:r>
    </w:p>
    <w:p w14:paraId="14240DD1">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这种设计有两个实际意义。其一，它把硬件佩戴问题前置，减少训练阶段的误反馈。其二，它将脑机接口系统中常被隐藏的校准环节转化为用户可以理解的流程，使系统更适合现场展示和后续家庭使用。对于可穿戴 BCI 应用而言，易用性不只体现在设备轻便，也体现在系统能否帮助非专业用户完成基本的信号准备。</w:t>
      </w:r>
    </w:p>
    <w:p w14:paraId="65B3FF41">
      <w:pPr>
        <w:numPr>
          <w:numId w:val="0"/>
        </w:numPr>
        <w:tabs>
          <w:tab w:val="right" w:leader="dot" w:pos="8280"/>
        </w:tabs>
        <w:spacing w:line="400" w:lineRule="exact"/>
        <w:ind w:leftChars="0"/>
        <w:rPr>
          <w:rFonts w:hint="eastAsia" w:ascii="黑体" w:hAnsi="黑体" w:eastAsia="黑体" w:cs="黑体"/>
          <w:sz w:val="28"/>
          <w:szCs w:val="28"/>
        </w:rPr>
      </w:pPr>
      <w:r>
        <w:rPr>
          <w:rFonts w:hint="eastAsia" w:ascii="黑体" w:hAnsi="黑体" w:eastAsia="黑体" w:cs="黑体"/>
          <w:sz w:val="28"/>
          <w:szCs w:val="28"/>
        </w:rPr>
        <w:t>2.</w:t>
      </w:r>
      <w:r>
        <w:rPr>
          <w:rFonts w:hint="eastAsia" w:ascii="黑体" w:hAnsi="黑体" w:eastAsia="黑体" w:cs="黑体"/>
          <w:sz w:val="28"/>
          <w:szCs w:val="28"/>
          <w:lang w:val="en-US" w:eastAsia="zh-CN"/>
        </w:rPr>
        <w:t>1.2</w:t>
      </w:r>
      <w:r>
        <w:rPr>
          <w:rFonts w:hint="eastAsia" w:ascii="黑体" w:hAnsi="黑体" w:eastAsia="黑体" w:cs="黑体"/>
          <w:sz w:val="28"/>
          <w:szCs w:val="28"/>
        </w:rPr>
        <w:t xml:space="preserve"> 信号处理与注意指标</w:t>
      </w:r>
    </w:p>
    <w:p w14:paraId="6AD5AE53">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本项目初期拟调用 HybridBCI 平台现有 SSVEP 模块输出。应用层主要完成三个层面的指标转换。</w:t>
      </w:r>
    </w:p>
    <w:p w14:paraId="4D46CB74">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第一是目标识别层。系统判断用户当前是否成功锁定指定 SSVEP 目标，用于完成最基本的训练反馈。例如第一关只有一个主要目标频率源，系统只需要判断用户是否稳定注视该目标，并将结果映射为花瓣绽放、水面清晰、光晕稳定等反馈。</w:t>
      </w:r>
    </w:p>
    <w:p w14:paraId="71D63B07">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第二是竞争指数层。对于含有目标与干扰的任务，系统将目标响应与干扰响应进行比较，形成竞争指数：目标响应 /（目标响应 + 干扰响应）。这一指标比单纯"触发成功/失败"更贴近注意训练本身，因为它描述的是注意资源在目标和干扰之间的分配。若目标响应稳定高于干扰响应，说明用户能够在复杂环境中维持选择性注意；若干扰响应上升，则说明用户可能被高显著刺激吸引。</w:t>
      </w:r>
    </w:p>
    <w:p w14:paraId="76C7AB37">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第三是训练过程层。系统记录有效专注时长、连续达标时间、分心次数、分心后的恢复时间、不同关卡下的稳定性和主观疲劳评分。它们不直接作为医学诊断指标，但可以作为训练过程管理和后续研究评估的依据。比如，同一用户在第一关表现稳定而第六关波动明显，说明其基础持续注意尚可，但高负荷抗干扰能力仍需要训练；如果经过多次训练后恢复时间缩短，则可能提示其错误恢复能力改善。</w:t>
      </w:r>
    </w:p>
    <w:p w14:paraId="4262AA24">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在应用实现中，注意指标不以生硬数字直接暴露给用户，而会经过平滑和状态映射。短时波动先通过滑动窗口平滑，避免场景因瞬时噪声频繁跳变；随后系统将指标划分为"稳定专注、轻度波动、明显偏离"三个状态。稳定专注时，目标光源更稳定、场景更清晰、声音更通透；轻度波动时，系统保持柔和提示，帮助用户恢复；明显偏离时，目标区域会增强引导，但不会出现强惩罚或刺耳反馈。这样做是为了避免用户把训练理解成"失败/成功"的二元游戏，而是形成可恢复、可调节的注意练习。</w:t>
      </w:r>
    </w:p>
    <w:p w14:paraId="11A9DCD2">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系统还需要处理眼动和注视策略问题。SSVEP 训练天然与视觉注视相关，但本项目关注的是注意资源在目标和干扰之间的分配，而不是训练用户机械盯住屏幕。因此任务设计中会限制刺激面积和强度，减少"越亮越好"的诱导；在含干扰关卡中，目标和干扰需要同时具备一定吸引力，使系统真正考察选择和抑制，而不是简单判断用户是否看见最大刺激。后续若接入眼动或摄像头信息，也可以进一步区分"眼睛看向目标"和"注意保持在目标"之间的关系。</w:t>
      </w:r>
    </w:p>
    <w:p w14:paraId="6E0183AA">
      <w:pPr>
        <w:spacing w:before="60" w:after="60" w:line="360" w:lineRule="auto"/>
        <w:ind w:firstLine="480"/>
        <w:rPr>
          <w:rFonts w:hint="eastAsia" w:ascii="宋体" w:hAnsi="宋体" w:eastAsia="宋体" w:cs="宋体"/>
          <w:sz w:val="24"/>
          <w:szCs w:val="24"/>
        </w:rPr>
      </w:pPr>
    </w:p>
    <w:p w14:paraId="45BB97C0">
      <w:pPr>
        <w:spacing w:before="280" w:after="160" w:line="360" w:lineRule="auto"/>
        <w:rPr>
          <w:rFonts w:hint="eastAsia" w:ascii="黑体" w:hAnsi="黑体" w:eastAsia="黑体" w:cs="黑体"/>
          <w:b/>
          <w:bCs/>
          <w:sz w:val="30"/>
          <w:szCs w:val="30"/>
        </w:rPr>
      </w:pPr>
      <w:r>
        <w:rPr>
          <w:rFonts w:hint="eastAsia" w:ascii="黑体" w:hAnsi="黑体" w:eastAsia="黑体" w:cs="黑体"/>
          <w:sz w:val="30"/>
          <w:szCs w:val="30"/>
          <w:lang w:val="en-US" w:eastAsia="zh-CN"/>
        </w:rPr>
        <w:t>2.2</w:t>
      </w:r>
      <w:r>
        <w:rPr>
          <w:rFonts w:hint="eastAsia" w:ascii="黑体" w:hAnsi="黑体" w:eastAsia="黑体" w:cs="黑体"/>
          <w:sz w:val="30"/>
          <w:szCs w:val="30"/>
        </w:rPr>
        <w:t>作品方案设计及实现过程</w:t>
      </w:r>
    </w:p>
    <w:p w14:paraId="1CDA71E7">
      <w:pPr>
        <w:spacing w:before="280" w:after="160" w:line="360" w:lineRule="auto"/>
        <w:rPr>
          <w:rFonts w:hint="eastAsia" w:ascii="宋体" w:hAnsi="宋体" w:eastAsia="宋体" w:cs="宋体"/>
          <w:sz w:val="24"/>
          <w:szCs w:val="24"/>
        </w:rPr>
      </w:pPr>
      <w:r>
        <w:rPr>
          <w:rFonts w:hint="eastAsia" w:ascii="黑体" w:hAnsi="黑体" w:eastAsia="黑体" w:cs="黑体"/>
          <w:b w:val="0"/>
          <w:bCs w:val="0"/>
          <w:sz w:val="28"/>
          <w:szCs w:val="28"/>
        </w:rPr>
        <w:t>2.</w:t>
      </w:r>
      <w:r>
        <w:rPr>
          <w:rFonts w:hint="eastAsia" w:ascii="黑体" w:hAnsi="黑体" w:eastAsia="黑体" w:cs="黑体"/>
          <w:b w:val="0"/>
          <w:bCs w:val="0"/>
          <w:sz w:val="28"/>
          <w:szCs w:val="28"/>
          <w:lang w:val="en-US" w:eastAsia="zh-CN"/>
        </w:rPr>
        <w:t>2.1</w:t>
      </w:r>
      <w:r>
        <w:rPr>
          <w:rFonts w:hint="eastAsia" w:ascii="黑体" w:hAnsi="黑体" w:eastAsia="黑体" w:cs="黑体"/>
          <w:b w:val="0"/>
          <w:bCs w:val="0"/>
          <w:sz w:val="28"/>
          <w:szCs w:val="28"/>
        </w:rPr>
        <w:t xml:space="preserve"> 任务设计：从基础持续注意到抗干扰控制</w:t>
      </w:r>
    </w:p>
    <w:p w14:paraId="1BFE0C16">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六级任务不是视觉主题的横向扩展，而是认知负荷的纵向递进。第一、二关先让用户在低干扰条件下形成稳定 SSVEP 响应，解决"能否维持"的问题；第三、四关加入空间候选和同场干扰，解决"能否选对并抑制错误目标"的问题；第五、六关再加入运动目标和突发高显著刺激，解决"在复杂环境中能否恢复和保持"的问题。这一路径对应临床训练中常见的梯度：先建立基础持续性注意，再训练选择和转移，最后进入抗干扰与动态控制。</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77"/>
        <w:gridCol w:w="2077"/>
        <w:gridCol w:w="2077"/>
        <w:gridCol w:w="2075"/>
      </w:tblGrid>
      <w:tr w14:paraId="54603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999999" w:sz="0" w:space="0"/>
              <w:left w:val="single" w:color="999999" w:sz="0" w:space="0"/>
              <w:bottom w:val="single" w:color="999999" w:sz="0" w:space="0"/>
              <w:right w:val="single" w:color="999999" w:sz="0" w:space="0"/>
            </w:tcBorders>
            <w:shd w:val="clear" w:color="auto" w:fill="E8F0FE"/>
            <w:tcMar>
              <w:top w:w="60" w:type="dxa"/>
              <w:left w:w="100" w:type="dxa"/>
              <w:bottom w:w="60" w:type="dxa"/>
              <w:right w:w="100" w:type="dxa"/>
            </w:tcMar>
            <w:vAlign w:val="center"/>
          </w:tcPr>
          <w:p w14:paraId="5E80F941">
            <w:pPr>
              <w:spacing w:before="40" w:after="40"/>
              <w:jc w:val="center"/>
              <w:rPr>
                <w:rFonts w:hint="eastAsia" w:ascii="宋体" w:hAnsi="宋体" w:eastAsia="宋体" w:cs="宋体"/>
                <w:sz w:val="24"/>
                <w:szCs w:val="24"/>
              </w:rPr>
            </w:pPr>
            <w:r>
              <w:rPr>
                <w:rFonts w:hint="eastAsia" w:ascii="宋体" w:hAnsi="宋体" w:eastAsia="宋体" w:cs="宋体"/>
                <w:b/>
                <w:bCs/>
                <w:sz w:val="24"/>
                <w:szCs w:val="24"/>
              </w:rPr>
              <w:t>临床/认知训练阶段</w:t>
            </w:r>
          </w:p>
        </w:tc>
        <w:tc>
          <w:tcPr>
            <w:tcW w:w="2077" w:type="dxa"/>
            <w:tcBorders>
              <w:top w:val="single" w:color="999999" w:sz="0" w:space="0"/>
              <w:left w:val="single" w:color="999999" w:sz="0" w:space="0"/>
              <w:bottom w:val="single" w:color="999999" w:sz="0" w:space="0"/>
              <w:right w:val="single" w:color="999999" w:sz="0" w:space="0"/>
            </w:tcBorders>
            <w:shd w:val="clear" w:color="auto" w:fill="E8F0FE"/>
            <w:tcMar>
              <w:top w:w="60" w:type="dxa"/>
              <w:left w:w="100" w:type="dxa"/>
              <w:bottom w:w="60" w:type="dxa"/>
              <w:right w:w="100" w:type="dxa"/>
            </w:tcMar>
            <w:vAlign w:val="center"/>
          </w:tcPr>
          <w:p w14:paraId="684BE796">
            <w:pPr>
              <w:spacing w:before="40" w:after="40"/>
              <w:jc w:val="center"/>
              <w:rPr>
                <w:rFonts w:hint="eastAsia" w:ascii="宋体" w:hAnsi="宋体" w:eastAsia="宋体" w:cs="宋体"/>
                <w:sz w:val="24"/>
                <w:szCs w:val="24"/>
              </w:rPr>
            </w:pPr>
            <w:r>
              <w:rPr>
                <w:rFonts w:hint="eastAsia" w:ascii="宋体" w:hAnsi="宋体" w:eastAsia="宋体" w:cs="宋体"/>
                <w:b/>
                <w:bCs/>
                <w:sz w:val="24"/>
                <w:szCs w:val="24"/>
              </w:rPr>
              <w:t>界面关卡名称</w:t>
            </w:r>
          </w:p>
        </w:tc>
        <w:tc>
          <w:tcPr>
            <w:tcW w:w="2077" w:type="dxa"/>
            <w:tcBorders>
              <w:top w:val="single" w:color="999999" w:sz="0" w:space="0"/>
              <w:left w:val="single" w:color="999999" w:sz="0" w:space="0"/>
              <w:bottom w:val="single" w:color="999999" w:sz="0" w:space="0"/>
              <w:right w:val="single" w:color="999999" w:sz="0" w:space="0"/>
            </w:tcBorders>
            <w:shd w:val="clear" w:color="auto" w:fill="E8F0FE"/>
            <w:tcMar>
              <w:top w:w="60" w:type="dxa"/>
              <w:left w:w="100" w:type="dxa"/>
              <w:bottom w:w="60" w:type="dxa"/>
              <w:right w:w="100" w:type="dxa"/>
            </w:tcMar>
            <w:vAlign w:val="center"/>
          </w:tcPr>
          <w:p w14:paraId="0E3791D6">
            <w:pPr>
              <w:spacing w:before="40" w:after="40"/>
              <w:jc w:val="center"/>
              <w:rPr>
                <w:rFonts w:hint="eastAsia" w:ascii="宋体" w:hAnsi="宋体" w:eastAsia="宋体" w:cs="宋体"/>
                <w:sz w:val="24"/>
                <w:szCs w:val="24"/>
              </w:rPr>
            </w:pPr>
            <w:r>
              <w:rPr>
                <w:rFonts w:hint="eastAsia" w:ascii="宋体" w:hAnsi="宋体" w:eastAsia="宋体" w:cs="宋体"/>
                <w:b/>
                <w:bCs/>
                <w:sz w:val="24"/>
                <w:szCs w:val="24"/>
              </w:rPr>
              <w:t>主要训练能力</w:t>
            </w:r>
          </w:p>
        </w:tc>
        <w:tc>
          <w:tcPr>
            <w:tcW w:w="2075" w:type="dxa"/>
            <w:tcBorders>
              <w:top w:val="single" w:color="999999" w:sz="0" w:space="0"/>
              <w:left w:val="single" w:color="999999" w:sz="0" w:space="0"/>
              <w:bottom w:val="single" w:color="999999" w:sz="0" w:space="0"/>
              <w:right w:val="single" w:color="999999" w:sz="0" w:space="0"/>
            </w:tcBorders>
            <w:shd w:val="clear" w:color="auto" w:fill="E8F0FE"/>
            <w:tcMar>
              <w:top w:w="60" w:type="dxa"/>
              <w:left w:w="100" w:type="dxa"/>
              <w:bottom w:w="60" w:type="dxa"/>
              <w:right w:w="100" w:type="dxa"/>
            </w:tcMar>
            <w:vAlign w:val="center"/>
          </w:tcPr>
          <w:p w14:paraId="4BC88BAB">
            <w:pPr>
              <w:spacing w:before="40" w:after="40"/>
              <w:jc w:val="center"/>
              <w:rPr>
                <w:rFonts w:hint="eastAsia" w:ascii="宋体" w:hAnsi="宋体" w:eastAsia="宋体" w:cs="宋体"/>
                <w:sz w:val="24"/>
                <w:szCs w:val="24"/>
              </w:rPr>
            </w:pPr>
            <w:r>
              <w:rPr>
                <w:rFonts w:hint="eastAsia" w:ascii="宋体" w:hAnsi="宋体" w:eastAsia="宋体" w:cs="宋体"/>
                <w:b/>
                <w:bCs/>
                <w:sz w:val="24"/>
                <w:szCs w:val="24"/>
              </w:rPr>
              <w:t>SSVEP 设计</w:t>
            </w:r>
          </w:p>
        </w:tc>
      </w:tr>
      <w:tr w14:paraId="5BEED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948493D">
            <w:pPr>
              <w:spacing w:before="40" w:after="40"/>
              <w:jc w:val="center"/>
              <w:rPr>
                <w:rFonts w:hint="eastAsia" w:ascii="宋体" w:hAnsi="宋体" w:eastAsia="宋体" w:cs="宋体"/>
                <w:sz w:val="24"/>
                <w:szCs w:val="24"/>
              </w:rPr>
            </w:pPr>
            <w:r>
              <w:rPr>
                <w:rFonts w:hint="eastAsia" w:ascii="宋体" w:hAnsi="宋体" w:eastAsia="宋体" w:cs="宋体"/>
                <w:sz w:val="24"/>
                <w:szCs w:val="24"/>
              </w:rPr>
              <w:t>基础持续性注意训练</w:t>
            </w:r>
          </w:p>
        </w:tc>
        <w:tc>
          <w:tcPr>
            <w:tcW w:w="207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FBC34F">
            <w:pPr>
              <w:spacing w:before="40" w:after="40"/>
              <w:jc w:val="center"/>
              <w:rPr>
                <w:rFonts w:hint="eastAsia" w:ascii="宋体" w:hAnsi="宋体" w:eastAsia="宋体" w:cs="宋体"/>
                <w:sz w:val="24"/>
                <w:szCs w:val="24"/>
              </w:rPr>
            </w:pPr>
            <w:r>
              <w:rPr>
                <w:rFonts w:hint="eastAsia" w:ascii="宋体" w:hAnsi="宋体" w:eastAsia="宋体" w:cs="宋体"/>
                <w:sz w:val="24"/>
                <w:szCs w:val="24"/>
              </w:rPr>
              <w:t>涟漪绽放</w:t>
            </w:r>
          </w:p>
        </w:tc>
        <w:tc>
          <w:tcPr>
            <w:tcW w:w="207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E89EE9">
            <w:pPr>
              <w:spacing w:before="40" w:after="40"/>
              <w:jc w:val="center"/>
              <w:rPr>
                <w:rFonts w:hint="eastAsia" w:ascii="宋体" w:hAnsi="宋体" w:eastAsia="宋体" w:cs="宋体"/>
                <w:sz w:val="24"/>
                <w:szCs w:val="24"/>
              </w:rPr>
            </w:pPr>
            <w:r>
              <w:rPr>
                <w:rFonts w:hint="eastAsia" w:ascii="宋体" w:hAnsi="宋体" w:eastAsia="宋体" w:cs="宋体"/>
                <w:sz w:val="24"/>
                <w:szCs w:val="24"/>
              </w:rPr>
              <w:t>单目标持续注视、注意保持</w:t>
            </w:r>
          </w:p>
        </w:tc>
        <w:tc>
          <w:tcPr>
            <w:tcW w:w="2075"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C0CDD5F">
            <w:pPr>
              <w:spacing w:before="40" w:after="40"/>
              <w:jc w:val="center"/>
              <w:rPr>
                <w:rFonts w:hint="eastAsia" w:ascii="宋体" w:hAnsi="宋体" w:eastAsia="宋体" w:cs="宋体"/>
                <w:sz w:val="24"/>
                <w:szCs w:val="24"/>
              </w:rPr>
            </w:pPr>
            <w:r>
              <w:rPr>
                <w:rFonts w:hint="eastAsia" w:ascii="宋体" w:hAnsi="宋体" w:eastAsia="宋体" w:cs="宋体"/>
                <w:sz w:val="24"/>
                <w:szCs w:val="24"/>
              </w:rPr>
              <w:t>单一目标频率，低干扰</w:t>
            </w:r>
          </w:p>
        </w:tc>
      </w:tr>
      <w:tr w14:paraId="52DE8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ABA037E">
            <w:pPr>
              <w:spacing w:before="40" w:after="40"/>
              <w:jc w:val="center"/>
              <w:rPr>
                <w:rFonts w:hint="eastAsia" w:ascii="宋体" w:hAnsi="宋体" w:eastAsia="宋体" w:cs="宋体"/>
                <w:sz w:val="24"/>
                <w:szCs w:val="24"/>
              </w:rPr>
            </w:pPr>
            <w:r>
              <w:rPr>
                <w:rFonts w:hint="eastAsia" w:ascii="宋体" w:hAnsi="宋体" w:eastAsia="宋体" w:cs="宋体"/>
                <w:sz w:val="24"/>
                <w:szCs w:val="24"/>
              </w:rPr>
              <w:t>视觉耐力与稳定跟随训练</w:t>
            </w:r>
          </w:p>
        </w:tc>
        <w:tc>
          <w:tcPr>
            <w:tcW w:w="207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4B165AE">
            <w:pPr>
              <w:spacing w:before="40" w:after="40"/>
              <w:jc w:val="center"/>
              <w:rPr>
                <w:rFonts w:hint="eastAsia" w:ascii="宋体" w:hAnsi="宋体" w:eastAsia="宋体" w:cs="宋体"/>
                <w:sz w:val="24"/>
                <w:szCs w:val="24"/>
              </w:rPr>
            </w:pPr>
            <w:r>
              <w:rPr>
                <w:rFonts w:hint="eastAsia" w:ascii="宋体" w:hAnsi="宋体" w:eastAsia="宋体" w:cs="宋体"/>
                <w:sz w:val="24"/>
                <w:szCs w:val="24"/>
              </w:rPr>
              <w:t>萤火引路</w:t>
            </w:r>
          </w:p>
        </w:tc>
        <w:tc>
          <w:tcPr>
            <w:tcW w:w="207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55FE5A">
            <w:pPr>
              <w:spacing w:before="40" w:after="40"/>
              <w:jc w:val="center"/>
              <w:rPr>
                <w:rFonts w:hint="eastAsia" w:ascii="宋体" w:hAnsi="宋体" w:eastAsia="宋体" w:cs="宋体"/>
                <w:sz w:val="24"/>
                <w:szCs w:val="24"/>
              </w:rPr>
            </w:pPr>
            <w:r>
              <w:rPr>
                <w:rFonts w:hint="eastAsia" w:ascii="宋体" w:hAnsi="宋体" w:eastAsia="宋体" w:cs="宋体"/>
                <w:sz w:val="24"/>
                <w:szCs w:val="24"/>
              </w:rPr>
              <w:t>小目标稳定跟随、视觉疲劳适应</w:t>
            </w:r>
          </w:p>
        </w:tc>
        <w:tc>
          <w:tcPr>
            <w:tcW w:w="2075"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25C445B">
            <w:pPr>
              <w:spacing w:before="40" w:after="40"/>
              <w:jc w:val="center"/>
              <w:rPr>
                <w:rFonts w:hint="eastAsia" w:ascii="宋体" w:hAnsi="宋体" w:eastAsia="宋体" w:cs="宋体"/>
                <w:sz w:val="24"/>
                <w:szCs w:val="24"/>
              </w:rPr>
            </w:pPr>
            <w:r>
              <w:rPr>
                <w:rFonts w:hint="eastAsia" w:ascii="宋体" w:hAnsi="宋体" w:eastAsia="宋体" w:cs="宋体"/>
                <w:sz w:val="24"/>
                <w:szCs w:val="24"/>
              </w:rPr>
              <w:t>多个同频小目标，局部闪烁</w:t>
            </w:r>
          </w:p>
        </w:tc>
      </w:tr>
      <w:tr w14:paraId="5592B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C39D70">
            <w:pPr>
              <w:spacing w:before="40" w:after="40"/>
              <w:jc w:val="center"/>
              <w:rPr>
                <w:rFonts w:hint="eastAsia" w:ascii="宋体" w:hAnsi="宋体" w:eastAsia="宋体" w:cs="宋体"/>
                <w:sz w:val="24"/>
                <w:szCs w:val="24"/>
              </w:rPr>
            </w:pPr>
            <w:r>
              <w:rPr>
                <w:rFonts w:hint="eastAsia" w:ascii="宋体" w:hAnsi="宋体" w:eastAsia="宋体" w:cs="宋体"/>
                <w:sz w:val="24"/>
                <w:szCs w:val="24"/>
              </w:rPr>
              <w:t>空间搜索与转移性注意训练</w:t>
            </w:r>
          </w:p>
        </w:tc>
        <w:tc>
          <w:tcPr>
            <w:tcW w:w="207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411D86">
            <w:pPr>
              <w:spacing w:before="40" w:after="40"/>
              <w:jc w:val="center"/>
              <w:rPr>
                <w:rFonts w:hint="eastAsia" w:ascii="宋体" w:hAnsi="宋体" w:eastAsia="宋体" w:cs="宋体"/>
                <w:sz w:val="24"/>
                <w:szCs w:val="24"/>
              </w:rPr>
            </w:pPr>
            <w:r>
              <w:rPr>
                <w:rFonts w:hint="eastAsia" w:ascii="宋体" w:hAnsi="宋体" w:eastAsia="宋体" w:cs="宋体"/>
                <w:sz w:val="24"/>
                <w:szCs w:val="24"/>
              </w:rPr>
              <w:t>星图寻迹</w:t>
            </w:r>
          </w:p>
        </w:tc>
        <w:tc>
          <w:tcPr>
            <w:tcW w:w="207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AD171A2">
            <w:pPr>
              <w:spacing w:before="40" w:after="40"/>
              <w:rPr>
                <w:rFonts w:hint="eastAsia" w:ascii="宋体" w:hAnsi="宋体" w:eastAsia="宋体" w:cs="宋体"/>
                <w:sz w:val="24"/>
                <w:szCs w:val="24"/>
              </w:rPr>
            </w:pPr>
            <w:r>
              <w:rPr>
                <w:rFonts w:hint="eastAsia" w:ascii="宋体" w:hAnsi="宋体" w:eastAsia="宋体" w:cs="宋体"/>
                <w:sz w:val="24"/>
                <w:szCs w:val="24"/>
              </w:rPr>
              <w:t>在多个空间候选中按任务线索转移注意</w:t>
            </w:r>
          </w:p>
        </w:tc>
        <w:tc>
          <w:tcPr>
            <w:tcW w:w="2075"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294F20F">
            <w:pPr>
              <w:spacing w:before="40" w:after="40"/>
              <w:jc w:val="center"/>
              <w:rPr>
                <w:rFonts w:hint="eastAsia" w:ascii="宋体" w:hAnsi="宋体" w:eastAsia="宋体" w:cs="宋体"/>
                <w:sz w:val="24"/>
                <w:szCs w:val="24"/>
              </w:rPr>
            </w:pPr>
            <w:r>
              <w:rPr>
                <w:rFonts w:hint="eastAsia" w:ascii="宋体" w:hAnsi="宋体" w:eastAsia="宋体" w:cs="宋体"/>
                <w:sz w:val="24"/>
                <w:szCs w:val="24"/>
              </w:rPr>
              <w:t>目标频率与背景干扰频率并存</w:t>
            </w:r>
          </w:p>
        </w:tc>
      </w:tr>
      <w:tr w14:paraId="2672E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081A2A6">
            <w:pPr>
              <w:spacing w:before="40" w:after="40"/>
              <w:jc w:val="center"/>
              <w:rPr>
                <w:rFonts w:hint="eastAsia" w:ascii="宋体" w:hAnsi="宋体" w:eastAsia="宋体" w:cs="宋体"/>
                <w:sz w:val="24"/>
                <w:szCs w:val="24"/>
              </w:rPr>
            </w:pPr>
            <w:r>
              <w:rPr>
                <w:rFonts w:hint="eastAsia" w:ascii="宋体" w:hAnsi="宋体" w:eastAsia="宋体" w:cs="宋体"/>
                <w:sz w:val="24"/>
                <w:szCs w:val="24"/>
              </w:rPr>
              <w:t>选择性注意与抑制控制训练</w:t>
            </w:r>
          </w:p>
        </w:tc>
        <w:tc>
          <w:tcPr>
            <w:tcW w:w="207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295E24A">
            <w:pPr>
              <w:spacing w:before="40" w:after="40"/>
              <w:jc w:val="center"/>
              <w:rPr>
                <w:rFonts w:hint="eastAsia" w:ascii="宋体" w:hAnsi="宋体" w:eastAsia="宋体" w:cs="宋体"/>
                <w:sz w:val="24"/>
                <w:szCs w:val="24"/>
              </w:rPr>
            </w:pPr>
            <w:r>
              <w:rPr>
                <w:rFonts w:hint="eastAsia" w:ascii="宋体" w:hAnsi="宋体" w:eastAsia="宋体" w:cs="宋体"/>
                <w:sz w:val="24"/>
                <w:szCs w:val="24"/>
              </w:rPr>
              <w:t>真假萤火</w:t>
            </w:r>
          </w:p>
        </w:tc>
        <w:tc>
          <w:tcPr>
            <w:tcW w:w="207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CD155D9">
            <w:pPr>
              <w:spacing w:before="40" w:after="40"/>
              <w:jc w:val="center"/>
              <w:rPr>
                <w:rFonts w:hint="eastAsia" w:ascii="宋体" w:hAnsi="宋体" w:eastAsia="宋体" w:cs="宋体"/>
                <w:sz w:val="24"/>
                <w:szCs w:val="24"/>
              </w:rPr>
            </w:pPr>
            <w:r>
              <w:rPr>
                <w:rFonts w:hint="eastAsia" w:ascii="宋体" w:hAnsi="宋体" w:eastAsia="宋体" w:cs="宋体"/>
                <w:sz w:val="24"/>
                <w:szCs w:val="24"/>
              </w:rPr>
              <w:t>抑制高显著干扰，维持目标选择</w:t>
            </w:r>
          </w:p>
        </w:tc>
        <w:tc>
          <w:tcPr>
            <w:tcW w:w="2075"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F9A0DFA">
            <w:pPr>
              <w:spacing w:before="40" w:after="40"/>
              <w:jc w:val="center"/>
              <w:rPr>
                <w:rFonts w:hint="eastAsia" w:ascii="宋体" w:hAnsi="宋体" w:eastAsia="宋体" w:cs="宋体"/>
                <w:sz w:val="24"/>
                <w:szCs w:val="24"/>
              </w:rPr>
            </w:pPr>
            <w:r>
              <w:rPr>
                <w:rFonts w:hint="eastAsia" w:ascii="宋体" w:hAnsi="宋体" w:eastAsia="宋体" w:cs="宋体"/>
                <w:sz w:val="24"/>
                <w:szCs w:val="24"/>
              </w:rPr>
              <w:t>目标/干扰竞争指数</w:t>
            </w:r>
          </w:p>
        </w:tc>
      </w:tr>
      <w:tr w14:paraId="67F3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0D5CB08">
            <w:pPr>
              <w:spacing w:before="40" w:after="40"/>
              <w:jc w:val="center"/>
              <w:rPr>
                <w:rFonts w:hint="eastAsia" w:ascii="宋体" w:hAnsi="宋体" w:eastAsia="宋体" w:cs="宋体"/>
                <w:sz w:val="24"/>
                <w:szCs w:val="24"/>
              </w:rPr>
            </w:pPr>
            <w:r>
              <w:rPr>
                <w:rFonts w:hint="eastAsia" w:ascii="宋体" w:hAnsi="宋体" w:eastAsia="宋体" w:cs="宋体"/>
                <w:sz w:val="24"/>
                <w:szCs w:val="24"/>
              </w:rPr>
              <w:t>动态目标追踪训练</w:t>
            </w:r>
          </w:p>
        </w:tc>
        <w:tc>
          <w:tcPr>
            <w:tcW w:w="207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A7E18C8">
            <w:pPr>
              <w:spacing w:before="40" w:after="40"/>
              <w:jc w:val="center"/>
              <w:rPr>
                <w:rFonts w:hint="eastAsia" w:ascii="宋体" w:hAnsi="宋体" w:eastAsia="宋体" w:cs="宋体"/>
                <w:sz w:val="24"/>
                <w:szCs w:val="24"/>
              </w:rPr>
            </w:pPr>
            <w:r>
              <w:rPr>
                <w:rFonts w:hint="eastAsia" w:ascii="宋体" w:hAnsi="宋体" w:eastAsia="宋体" w:cs="宋体"/>
                <w:sz w:val="24"/>
                <w:szCs w:val="24"/>
              </w:rPr>
              <w:t>飞燕破云</w:t>
            </w:r>
          </w:p>
        </w:tc>
        <w:tc>
          <w:tcPr>
            <w:tcW w:w="207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3563E41">
            <w:pPr>
              <w:spacing w:before="40" w:after="40"/>
              <w:jc w:val="center"/>
              <w:rPr>
                <w:rFonts w:hint="eastAsia" w:ascii="宋体" w:hAnsi="宋体" w:eastAsia="宋体" w:cs="宋体"/>
                <w:sz w:val="24"/>
                <w:szCs w:val="24"/>
              </w:rPr>
            </w:pPr>
            <w:r>
              <w:rPr>
                <w:rFonts w:hint="eastAsia" w:ascii="宋体" w:hAnsi="宋体" w:eastAsia="宋体" w:cs="宋体"/>
                <w:sz w:val="24"/>
                <w:szCs w:val="24"/>
              </w:rPr>
              <w:t>移动目标追踪、错误恢复</w:t>
            </w:r>
          </w:p>
        </w:tc>
        <w:tc>
          <w:tcPr>
            <w:tcW w:w="2075"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036CAF7">
            <w:pPr>
              <w:spacing w:before="40" w:after="40"/>
              <w:jc w:val="center"/>
              <w:rPr>
                <w:rFonts w:hint="eastAsia" w:ascii="宋体" w:hAnsi="宋体" w:eastAsia="宋体" w:cs="宋体"/>
                <w:sz w:val="24"/>
                <w:szCs w:val="24"/>
              </w:rPr>
            </w:pPr>
            <w:r>
              <w:rPr>
                <w:rFonts w:hint="eastAsia" w:ascii="宋体" w:hAnsi="宋体" w:eastAsia="宋体" w:cs="宋体"/>
                <w:sz w:val="24"/>
                <w:szCs w:val="24"/>
              </w:rPr>
              <w:t>移动目标加瞬态干扰</w:t>
            </w:r>
          </w:p>
        </w:tc>
      </w:tr>
      <w:tr w14:paraId="14F90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C494951">
            <w:pPr>
              <w:spacing w:before="40" w:after="40"/>
              <w:jc w:val="center"/>
              <w:rPr>
                <w:rFonts w:hint="eastAsia" w:ascii="宋体" w:hAnsi="宋体" w:eastAsia="宋体" w:cs="宋体"/>
                <w:sz w:val="24"/>
                <w:szCs w:val="24"/>
              </w:rPr>
            </w:pPr>
            <w:r>
              <w:rPr>
                <w:rFonts w:hint="eastAsia" w:ascii="宋体" w:hAnsi="宋体" w:eastAsia="宋体" w:cs="宋体"/>
                <w:sz w:val="24"/>
                <w:szCs w:val="24"/>
              </w:rPr>
              <w:t>高负荷抗干扰保持训练</w:t>
            </w:r>
          </w:p>
        </w:tc>
        <w:tc>
          <w:tcPr>
            <w:tcW w:w="207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11FB027">
            <w:pPr>
              <w:spacing w:before="40" w:after="40"/>
              <w:jc w:val="center"/>
              <w:rPr>
                <w:rFonts w:hint="eastAsia" w:ascii="宋体" w:hAnsi="宋体" w:eastAsia="宋体" w:cs="宋体"/>
                <w:sz w:val="24"/>
                <w:szCs w:val="24"/>
              </w:rPr>
            </w:pPr>
            <w:r>
              <w:rPr>
                <w:rFonts w:hint="eastAsia" w:ascii="宋体" w:hAnsi="宋体" w:eastAsia="宋体" w:cs="宋体"/>
                <w:sz w:val="24"/>
                <w:szCs w:val="24"/>
              </w:rPr>
              <w:t>流星试炼</w:t>
            </w:r>
          </w:p>
        </w:tc>
        <w:tc>
          <w:tcPr>
            <w:tcW w:w="207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9F0DCFB">
            <w:pPr>
              <w:spacing w:before="40" w:after="40"/>
              <w:jc w:val="center"/>
              <w:rPr>
                <w:rFonts w:hint="eastAsia" w:ascii="宋体" w:hAnsi="宋体" w:eastAsia="宋体" w:cs="宋体"/>
                <w:sz w:val="24"/>
                <w:szCs w:val="24"/>
              </w:rPr>
            </w:pPr>
            <w:r>
              <w:rPr>
                <w:rFonts w:hint="eastAsia" w:ascii="宋体" w:hAnsi="宋体" w:eastAsia="宋体" w:cs="宋体"/>
                <w:sz w:val="24"/>
                <w:szCs w:val="24"/>
              </w:rPr>
              <w:t>强干扰下的目标保持和冲动抑制</w:t>
            </w:r>
          </w:p>
        </w:tc>
        <w:tc>
          <w:tcPr>
            <w:tcW w:w="2075"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95DE4F">
            <w:pPr>
              <w:spacing w:before="40" w:after="40"/>
              <w:jc w:val="center"/>
              <w:rPr>
                <w:rFonts w:hint="eastAsia" w:ascii="宋体" w:hAnsi="宋体" w:eastAsia="宋体" w:cs="宋体"/>
                <w:sz w:val="24"/>
                <w:szCs w:val="24"/>
              </w:rPr>
            </w:pPr>
            <w:r>
              <w:rPr>
                <w:rFonts w:hint="eastAsia" w:ascii="宋体" w:hAnsi="宋体" w:eastAsia="宋体" w:cs="宋体"/>
                <w:sz w:val="24"/>
                <w:szCs w:val="24"/>
              </w:rPr>
              <w:t>高负荷抗干扰任务</w:t>
            </w:r>
          </w:p>
        </w:tc>
      </w:tr>
    </w:tbl>
    <w:p w14:paraId="11AD5ABB">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第一关"涟漪绽放"承担基线建立功能。画面中只有一个主要 SSVEP 目标，用户需要在较低干扰条件下持续注视。系统通过目标光晕稳定性、水面清晰度和花瓣绽放程度反馈注意状态。这一关不追求复杂性，它用于验证用户是否能在当日佩戴和标定条件下形成稳定 SSVEP 响应。</w:t>
      </w:r>
    </w:p>
    <w:p w14:paraId="790A0B45">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第二关"萤火引路"将单一大目标拆分为多个同频小目标，训练视觉耐力和稳定跟随。它不再依赖特别显眼的中心刺激，而是让用户在更细小、更自然的发光元素上维持注意。这个设计更接近真实场景中对局部线索的持续跟随，也有助于观察不同用户对小面积 SSVEP 刺激的耐受程度。</w:t>
      </w:r>
    </w:p>
    <w:p w14:paraId="18ABC575">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第三关"星图寻迹"加入空间搜索和转移性注意。用户需要在多个候选星点中按照任务线索找到目标。此时系统不再只考察注视能否维持，而是考察注意能否按任务要求从一个空间位置转移到另一个空间位置。SSVEP 的频率标签机制在这一关尤其有价值，因为它可以帮助区分用户是跟随目标，还是被背景干扰吸引。</w:t>
      </w:r>
    </w:p>
    <w:p w14:paraId="5B23E4A8">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第四关"真假萤火"重点训练选择性注意和抑制控制。目标与干扰同时存在，且干扰不能设计得过于弱，否则用户只是在追随最亮的目标，而不是训练"拒绝错误目标"的能力。该关对应 ADHD、卒中后视觉搜索和高干扰环境专注训练中最核心的一类问题：在显著刺激不断入侵时，个体是否能够把注意资源留给正确目标。</w:t>
      </w:r>
    </w:p>
    <w:p w14:paraId="59129FEF">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第五关"飞燕破云"开始引入动态目标。目标不再静止，用户需要持续追踪移动目标并在短暂丢失后恢复。该关涉及平滑追踪、动态更新和错误恢复。对于许多真实任务，例如阅读时换行、课堂上跟随教师板书、康复训练中追踪移动提示，注意力并不是固定在一个点上，而是需要持续更新。</w:t>
      </w:r>
    </w:p>
    <w:p w14:paraId="67E1D7B0">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第六关"流星试炼"是高负荷抗干扰任务。系统保留一个目标频率源，同时加入流星、极光等高显著干扰，考察用户能否在突发刺激中维持目标注意。它和第一关形成对照：第一关证明基础持续注意是否可建立，第六关证明用户能否在接近真实复杂环境的条件下保持任务目标。</w:t>
      </w:r>
    </w:p>
    <w:p w14:paraId="1448968D">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六关之间还设置动态难度调节。系统不会让所有用户面对同一强度的刺激和干扰。若用户在某关连续保持较高目标响应，系统会轻微降低目标显著性或增加干扰密度，使训练保持挑战；若用户持续无法达标，系统会提高目标可见性、降低干扰强度或缩短单轮训练时长。动态调节的目标不是追求"难"，而是把训练维持在用户能够努力但不至于挫败的区间。对于儿童和康复人群，这一点直接关系到依从性。</w:t>
      </w:r>
    </w:p>
    <w:p w14:paraId="458DAD39">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训练结束后，系统不只给出分数，而是给出可解释的过程反馈。例如：本次训练在哪些关卡中持续时间最长，分心后平均多久恢复，目标/干扰竞争指数在哪个阶段下降，用户主观疲劳是否升高。这些信息可以帮助用户理解自己的训练状态，也可以帮助研究者和治疗师判断下一次训练应提高难度、降低刺激强度，还是回到基础持续性注意训练。</w:t>
      </w:r>
    </w:p>
    <w:p w14:paraId="24E86C57">
      <w:pPr>
        <w:keepNext/>
        <w:spacing w:before="280" w:after="160" w:line="360" w:lineRule="auto"/>
        <w:rPr>
          <w:rFonts w:hint="eastAsia" w:ascii="黑体" w:hAnsi="黑体" w:eastAsia="黑体" w:cs="黑体"/>
          <w:b w:val="0"/>
          <w:bCs w:val="0"/>
          <w:sz w:val="28"/>
          <w:szCs w:val="28"/>
        </w:rPr>
      </w:pPr>
      <w:r>
        <w:rPr>
          <w:rFonts w:hint="eastAsia" w:ascii="黑体" w:hAnsi="黑体" w:eastAsia="黑体" w:cs="黑体"/>
          <w:b w:val="0"/>
          <w:bCs w:val="0"/>
          <w:sz w:val="28"/>
          <w:szCs w:val="28"/>
        </w:rPr>
        <w:t>2.</w:t>
      </w:r>
      <w:r>
        <w:rPr>
          <w:rFonts w:hint="eastAsia" w:ascii="黑体" w:hAnsi="黑体" w:eastAsia="黑体" w:cs="黑体"/>
          <w:b w:val="0"/>
          <w:bCs w:val="0"/>
          <w:sz w:val="28"/>
          <w:szCs w:val="28"/>
          <w:lang w:val="en-US" w:eastAsia="zh-CN"/>
        </w:rPr>
        <w:t>2.2</w:t>
      </w:r>
      <w:r>
        <w:rPr>
          <w:rFonts w:hint="eastAsia" w:ascii="黑体" w:hAnsi="黑体" w:eastAsia="黑体" w:cs="黑体"/>
          <w:b w:val="0"/>
          <w:bCs w:val="0"/>
          <w:sz w:val="28"/>
          <w:szCs w:val="28"/>
        </w:rPr>
        <w:t xml:space="preserve"> 交互与界面设计</w:t>
      </w:r>
    </w:p>
    <w:p w14:paraId="6BAB7626">
      <w:pPr>
        <w:keepNext/>
        <w:spacing w:before="280" w:after="160" w:line="360" w:lineRule="auto"/>
        <w:rPr>
          <w:rFonts w:hint="eastAsia" w:ascii="宋体" w:hAnsi="宋体" w:eastAsia="宋体" w:cs="宋体"/>
          <w:sz w:val="24"/>
          <w:szCs w:val="24"/>
        </w:rPr>
      </w:pPr>
      <w:r>
        <w:rPr>
          <w:rFonts w:hint="eastAsia" w:ascii="宋体" w:hAnsi="宋体" w:eastAsia="宋体" w:cs="宋体"/>
          <w:sz w:val="24"/>
          <w:szCs w:val="24"/>
          <w:lang w:val="en-US"/>
        </w:rPr>
        <w:drawing>
          <wp:inline distT="0" distB="0" distL="0" distR="0">
            <wp:extent cx="5274310" cy="2966720"/>
            <wp:effectExtent l="0" t="0" r="8890" b="5080"/>
            <wp:docPr id="106369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90256"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2051250A">
      <w:pPr>
        <w:pStyle w:val="5"/>
        <w:jc w:val="center"/>
        <w:rPr>
          <w:rFonts w:hint="eastAsia" w:ascii="宋体" w:hAnsi="宋体" w:eastAsia="宋体" w:cs="宋体"/>
          <w:i w:val="0"/>
          <w:iCs w:val="0"/>
          <w:color w:val="auto"/>
          <w:sz w:val="21"/>
          <w:szCs w:val="21"/>
        </w:rPr>
      </w:pPr>
      <w:r>
        <w:rPr>
          <w:rFonts w:hint="eastAsia" w:ascii="宋体" w:hAnsi="宋体" w:eastAsia="宋体" w:cs="宋体"/>
          <w:i w:val="0"/>
          <w:iCs w:val="0"/>
          <w:color w:val="auto"/>
          <w:sz w:val="21"/>
          <w:szCs w:val="21"/>
        </w:rPr>
        <w:t xml:space="preserve">Figure </w:t>
      </w:r>
      <w:r>
        <w:rPr>
          <w:rFonts w:hint="eastAsia" w:ascii="宋体" w:hAnsi="宋体" w:eastAsia="宋体" w:cs="宋体"/>
          <w:i w:val="0"/>
          <w:iCs w:val="0"/>
          <w:color w:val="auto"/>
          <w:sz w:val="21"/>
          <w:szCs w:val="21"/>
        </w:rPr>
        <w:fldChar w:fldCharType="begin"/>
      </w:r>
      <w:r>
        <w:rPr>
          <w:rFonts w:hint="eastAsia" w:ascii="宋体" w:hAnsi="宋体" w:eastAsia="宋体" w:cs="宋体"/>
          <w:i w:val="0"/>
          <w:iCs w:val="0"/>
          <w:color w:val="auto"/>
          <w:sz w:val="21"/>
          <w:szCs w:val="21"/>
        </w:rPr>
        <w:instrText xml:space="preserve"> SEQ Figure \* ARABIC </w:instrText>
      </w:r>
      <w:r>
        <w:rPr>
          <w:rFonts w:hint="eastAsia" w:ascii="宋体" w:hAnsi="宋体" w:eastAsia="宋体" w:cs="宋体"/>
          <w:i w:val="0"/>
          <w:iCs w:val="0"/>
          <w:color w:val="auto"/>
          <w:sz w:val="21"/>
          <w:szCs w:val="21"/>
        </w:rPr>
        <w:fldChar w:fldCharType="separate"/>
      </w:r>
      <w:r>
        <w:rPr>
          <w:rFonts w:hint="eastAsia" w:ascii="宋体" w:hAnsi="宋体" w:eastAsia="宋体" w:cs="宋体"/>
          <w:i w:val="0"/>
          <w:iCs w:val="0"/>
          <w:color w:val="auto"/>
          <w:sz w:val="21"/>
          <w:szCs w:val="21"/>
        </w:rPr>
        <w:t>1</w:t>
      </w:r>
      <w:r>
        <w:rPr>
          <w:rFonts w:hint="eastAsia" w:ascii="宋体" w:hAnsi="宋体" w:eastAsia="宋体" w:cs="宋体"/>
          <w:i w:val="0"/>
          <w:iCs w:val="0"/>
          <w:color w:val="auto"/>
          <w:sz w:val="21"/>
          <w:szCs w:val="21"/>
        </w:rPr>
        <w:fldChar w:fldCharType="end"/>
      </w:r>
      <w:r>
        <w:rPr>
          <w:rFonts w:hint="eastAsia" w:ascii="宋体" w:hAnsi="宋体" w:eastAsia="宋体" w:cs="宋体"/>
          <w:i w:val="0"/>
          <w:iCs w:val="0"/>
          <w:color w:val="auto"/>
          <w:sz w:val="21"/>
          <w:szCs w:val="21"/>
          <w:lang w:val="en-US"/>
        </w:rPr>
        <w:t>系统截图</w:t>
      </w:r>
    </w:p>
    <w:p w14:paraId="2667ADBB">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界面原则是"训练中少界面，训练前后给信息"。训练前界面用于连接设备、完成标定、选择关卡和训练时长；训练中尽量不出现数值、得分和复杂按钮，只保留必要的暂停/退出；训练后展示平均竞争指数、有效专注时长、分心恢复时间、抗干扰表现和疲劳提示。</w:t>
      </w:r>
    </w:p>
    <w:p w14:paraId="684CB39A">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本系统不把分数条、能量柱作为主要反馈，而是把 SSVEP 目标嵌入自然场景中的局部发光元素，例如花蕊、萤火、星点、水面高光和飞行光点。这里的美学不是外层包装，而是刺激设计和依从性设计的一部分。若刺激裸露成频闪块，系统更容易调试，却更难长期训练；将刺激安放在自然语义中，反而迫使系统更严格地处理刺激面积、亮度调制、颜色分层和反馈节奏。</w:t>
      </w:r>
    </w:p>
    <w:p w14:paraId="50106738">
      <w:pPr>
        <w:keepNext/>
        <w:spacing w:before="60" w:after="60"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5274310" cy="2966720"/>
            <wp:effectExtent l="0" t="0" r="8890" b="5080"/>
            <wp:docPr id="994100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00540" name="Picture 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189527D6">
      <w:pPr>
        <w:pStyle w:val="5"/>
        <w:jc w:val="center"/>
        <w:rPr>
          <w:rFonts w:hint="eastAsia" w:ascii="宋体" w:hAnsi="宋体" w:eastAsia="宋体" w:cs="宋体"/>
          <w:i w:val="0"/>
          <w:iCs w:val="0"/>
          <w:color w:val="auto"/>
          <w:sz w:val="21"/>
          <w:szCs w:val="21"/>
        </w:rPr>
      </w:pPr>
      <w:r>
        <w:rPr>
          <w:rFonts w:hint="eastAsia" w:ascii="宋体" w:hAnsi="宋体" w:eastAsia="宋体" w:cs="宋体"/>
          <w:i w:val="0"/>
          <w:iCs w:val="0"/>
          <w:color w:val="auto"/>
          <w:sz w:val="21"/>
          <w:szCs w:val="21"/>
        </w:rPr>
        <w:t xml:space="preserve">Figure </w:t>
      </w:r>
      <w:r>
        <w:rPr>
          <w:rFonts w:hint="eastAsia" w:ascii="宋体" w:hAnsi="宋体" w:eastAsia="宋体" w:cs="宋体"/>
          <w:i w:val="0"/>
          <w:iCs w:val="0"/>
          <w:color w:val="auto"/>
          <w:sz w:val="21"/>
          <w:szCs w:val="21"/>
        </w:rPr>
        <w:fldChar w:fldCharType="begin"/>
      </w:r>
      <w:r>
        <w:rPr>
          <w:rFonts w:hint="eastAsia" w:ascii="宋体" w:hAnsi="宋体" w:eastAsia="宋体" w:cs="宋体"/>
          <w:i w:val="0"/>
          <w:iCs w:val="0"/>
          <w:color w:val="auto"/>
          <w:sz w:val="21"/>
          <w:szCs w:val="21"/>
        </w:rPr>
        <w:instrText xml:space="preserve"> SEQ Figure \* ARABIC </w:instrText>
      </w:r>
      <w:r>
        <w:rPr>
          <w:rFonts w:hint="eastAsia" w:ascii="宋体" w:hAnsi="宋体" w:eastAsia="宋体" w:cs="宋体"/>
          <w:i w:val="0"/>
          <w:iCs w:val="0"/>
          <w:color w:val="auto"/>
          <w:sz w:val="21"/>
          <w:szCs w:val="21"/>
        </w:rPr>
        <w:fldChar w:fldCharType="separate"/>
      </w:r>
      <w:r>
        <w:rPr>
          <w:rFonts w:hint="eastAsia" w:ascii="宋体" w:hAnsi="宋体" w:eastAsia="宋体" w:cs="宋体"/>
          <w:i w:val="0"/>
          <w:iCs w:val="0"/>
          <w:color w:val="auto"/>
          <w:sz w:val="21"/>
          <w:szCs w:val="21"/>
        </w:rPr>
        <w:t>2</w:t>
      </w:r>
      <w:r>
        <w:rPr>
          <w:rFonts w:hint="eastAsia" w:ascii="宋体" w:hAnsi="宋体" w:eastAsia="宋体" w:cs="宋体"/>
          <w:i w:val="0"/>
          <w:iCs w:val="0"/>
          <w:color w:val="auto"/>
          <w:sz w:val="21"/>
          <w:szCs w:val="21"/>
        </w:rPr>
        <w:fldChar w:fldCharType="end"/>
      </w:r>
      <w:r>
        <w:rPr>
          <w:rFonts w:hint="eastAsia" w:ascii="宋体" w:hAnsi="宋体" w:eastAsia="宋体" w:cs="宋体"/>
          <w:i w:val="0"/>
          <w:iCs w:val="0"/>
          <w:color w:val="auto"/>
          <w:sz w:val="21"/>
          <w:szCs w:val="21"/>
        </w:rPr>
        <w:t>标定关卡设计</w:t>
      </w:r>
    </w:p>
    <w:p w14:paraId="777233F3">
      <w:pPr>
        <w:rPr>
          <w:rFonts w:hint="eastAsia" w:ascii="宋体" w:hAnsi="宋体" w:eastAsia="宋体" w:cs="宋体"/>
          <w:sz w:val="24"/>
          <w:szCs w:val="24"/>
        </w:rPr>
      </w:pPr>
    </w:p>
    <w:p w14:paraId="7CA899EA">
      <w:pPr>
        <w:keepNext/>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5274310" cy="2966720"/>
            <wp:effectExtent l="0" t="0" r="8890" b="5080"/>
            <wp:docPr id="1746415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15014" name="Picture 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2862D766">
      <w:pPr>
        <w:pStyle w:val="5"/>
        <w:jc w:val="center"/>
        <w:rPr>
          <w:rFonts w:hint="eastAsia" w:ascii="宋体" w:hAnsi="宋体" w:eastAsia="宋体" w:cs="宋体"/>
          <w:i w:val="0"/>
          <w:iCs w:val="0"/>
          <w:color w:val="auto"/>
          <w:sz w:val="21"/>
          <w:szCs w:val="21"/>
        </w:rPr>
      </w:pPr>
      <w:r>
        <w:rPr>
          <w:rFonts w:hint="eastAsia" w:ascii="宋体" w:hAnsi="宋体" w:eastAsia="宋体" w:cs="宋体"/>
          <w:i w:val="0"/>
          <w:iCs w:val="0"/>
          <w:color w:val="auto"/>
          <w:sz w:val="21"/>
          <w:szCs w:val="21"/>
        </w:rPr>
        <w:t xml:space="preserve">Figure </w:t>
      </w:r>
      <w:r>
        <w:rPr>
          <w:rFonts w:hint="eastAsia" w:ascii="宋体" w:hAnsi="宋体" w:eastAsia="宋体" w:cs="宋体"/>
          <w:i w:val="0"/>
          <w:iCs w:val="0"/>
          <w:color w:val="auto"/>
          <w:sz w:val="21"/>
          <w:szCs w:val="21"/>
        </w:rPr>
        <w:fldChar w:fldCharType="begin"/>
      </w:r>
      <w:r>
        <w:rPr>
          <w:rFonts w:hint="eastAsia" w:ascii="宋体" w:hAnsi="宋体" w:eastAsia="宋体" w:cs="宋体"/>
          <w:i w:val="0"/>
          <w:iCs w:val="0"/>
          <w:color w:val="auto"/>
          <w:sz w:val="21"/>
          <w:szCs w:val="21"/>
        </w:rPr>
        <w:instrText xml:space="preserve"> SEQ Figure \* ARABIC </w:instrText>
      </w:r>
      <w:r>
        <w:rPr>
          <w:rFonts w:hint="eastAsia" w:ascii="宋体" w:hAnsi="宋体" w:eastAsia="宋体" w:cs="宋体"/>
          <w:i w:val="0"/>
          <w:iCs w:val="0"/>
          <w:color w:val="auto"/>
          <w:sz w:val="21"/>
          <w:szCs w:val="21"/>
        </w:rPr>
        <w:fldChar w:fldCharType="separate"/>
      </w:r>
      <w:r>
        <w:rPr>
          <w:rFonts w:hint="eastAsia" w:ascii="宋体" w:hAnsi="宋体" w:eastAsia="宋体" w:cs="宋体"/>
          <w:i w:val="0"/>
          <w:iCs w:val="0"/>
          <w:color w:val="auto"/>
          <w:sz w:val="21"/>
          <w:szCs w:val="21"/>
        </w:rPr>
        <w:t>3</w:t>
      </w:r>
      <w:r>
        <w:rPr>
          <w:rFonts w:hint="eastAsia" w:ascii="宋体" w:hAnsi="宋体" w:eastAsia="宋体" w:cs="宋体"/>
          <w:i w:val="0"/>
          <w:iCs w:val="0"/>
          <w:color w:val="auto"/>
          <w:sz w:val="21"/>
          <w:szCs w:val="21"/>
        </w:rPr>
        <w:fldChar w:fldCharType="end"/>
      </w:r>
      <w:r>
        <w:rPr>
          <w:rFonts w:hint="eastAsia" w:ascii="宋体" w:hAnsi="宋体" w:eastAsia="宋体" w:cs="宋体"/>
          <w:i w:val="0"/>
          <w:iCs w:val="0"/>
          <w:color w:val="auto"/>
          <w:sz w:val="21"/>
          <w:szCs w:val="21"/>
        </w:rPr>
        <w:t>第一关</w:t>
      </w:r>
    </w:p>
    <w:p w14:paraId="5C622646">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训练中的反馈分为视觉、听觉和节奏三类。视觉反馈承担主要信息表达：目标稳定时，场景中的雾气消散、光源稳定、目标相关物体生长或连线完成；注意偏离时，场景不会突然失败，而是逐渐变暗或降低清晰度。听觉反馈承担辅助引导：专注状态下环境声更通透，偏离状态下声音变得更轻、更远，提示用户重新回到目标。节奏反馈承担训练结构：每轮训练有明确开始、维持和结束阶段，避免用户在长时间连续注视中快速疲劳。</w:t>
      </w:r>
    </w:p>
    <w:p w14:paraId="19B99DFA">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界面层还需要考虑不同用户的理解成本。对于儿童用户，文字说明应尽量短，训练目标通过场景和图形表达；对于治疗师或评委，训练后报告需要给出更明确的指标解释；对于普通使用者，系统要避免过度医疗化措辞，减少"我正在被检测"的压力。也因此，系统采用"训练中少界面，训练后给报告"的方式，把认知负担从训练过程转移到训练结束后。</w:t>
      </w:r>
    </w:p>
    <w:p w14:paraId="3788A8A7">
      <w:pPr>
        <w:tabs>
          <w:tab w:val="right" w:leader="dot" w:pos="8280"/>
        </w:tabs>
        <w:spacing w:line="400" w:lineRule="exact"/>
        <w:ind w:firstLine="240" w:firstLineChars="100"/>
        <w:jc w:val="center"/>
        <w:rPr>
          <w:rFonts w:hint="eastAsia" w:ascii="宋体" w:hAnsi="宋体" w:eastAsia="宋体" w:cs="宋体"/>
          <w:sz w:val="24"/>
          <w:szCs w:val="24"/>
        </w:rPr>
      </w:pPr>
    </w:p>
    <w:p w14:paraId="62AC780D">
      <w:pPr>
        <w:spacing w:line="400" w:lineRule="exact"/>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3 作品测试方案及测试结果</w:t>
      </w:r>
    </w:p>
    <w:p w14:paraId="414E9511">
      <w:pPr>
        <w:spacing w:line="400" w:lineRule="exact"/>
        <w:jc w:val="center"/>
        <w:rPr>
          <w:rFonts w:hint="eastAsia" w:ascii="黑体" w:hAnsi="黑体" w:eastAsia="黑体" w:cs="黑体"/>
          <w:sz w:val="32"/>
          <w:szCs w:val="32"/>
          <w:lang w:val="en-US" w:eastAsia="zh-CN"/>
        </w:rPr>
      </w:pPr>
    </w:p>
    <w:p w14:paraId="73A099DB">
      <w:pPr>
        <w:tabs>
          <w:tab w:val="right" w:leader="dot" w:pos="8280"/>
        </w:tabs>
        <w:spacing w:line="400" w:lineRule="exact"/>
        <w:rPr>
          <w:rFonts w:hint="eastAsia" w:ascii="黑体" w:hAnsi="黑体" w:eastAsia="黑体" w:cs="黑体"/>
          <w:bCs/>
          <w:sz w:val="30"/>
          <w:szCs w:val="30"/>
          <w:lang w:val="en-US" w:eastAsia="zh-CN"/>
        </w:rPr>
      </w:pPr>
      <w:r>
        <w:rPr>
          <w:rFonts w:hint="eastAsia" w:ascii="黑体" w:hAnsi="黑体" w:eastAsia="黑体" w:cs="黑体"/>
          <w:bCs/>
          <w:sz w:val="30"/>
          <w:szCs w:val="30"/>
          <w:lang w:val="en-US" w:eastAsia="zh-CN"/>
        </w:rPr>
        <w:t>3.1 测试方案</w:t>
      </w:r>
    </w:p>
    <w:p w14:paraId="32F3E686">
      <w:pPr>
        <w:spacing w:before="60" w:after="60" w:line="360" w:lineRule="auto"/>
        <w:rPr>
          <w:rFonts w:hint="eastAsia" w:ascii="宋体" w:hAnsi="宋体" w:eastAsia="宋体" w:cs="宋体"/>
          <w:sz w:val="24"/>
          <w:szCs w:val="24"/>
          <w:lang w:val="en-US" w:eastAsia="zh-CN"/>
        </w:rPr>
      </w:pPr>
      <w:r>
        <w:rPr>
          <w:rFonts w:hint="eastAsia" w:ascii="黑体" w:hAnsi="黑体" w:eastAsia="黑体" w:cs="黑体"/>
          <w:sz w:val="28"/>
          <w:szCs w:val="28"/>
          <w:lang w:val="en-US" w:eastAsia="zh-CN"/>
        </w:rPr>
        <w:t>3.1.1 测试目的</w:t>
      </w:r>
    </w:p>
    <w:p w14:paraId="455471B5">
      <w:pPr>
        <w:spacing w:before="60" w:after="60"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验证本系统在真实演示环境下的功能完整性、闭环稳定性、用户体验舒适度及训练任务的有效性，重点评估以下方面：</w:t>
      </w:r>
    </w:p>
    <w:p w14:paraId="357606A9">
      <w:pPr>
        <w:spacing w:before="60" w:after="60"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脑电头环与HybridBCI平台的设备连接稳定性；</w:t>
      </w:r>
    </w:p>
    <w:p w14:paraId="6F9B69D4">
      <w:pPr>
        <w:spacing w:before="60" w:after="60"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SSVEP指令输出的识别准确性与反馈延迟；</w:t>
      </w:r>
    </w:p>
    <w:p w14:paraId="467C74A1">
      <w:pPr>
        <w:spacing w:before="60" w:after="60"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六级别训练任务（涟漪绽放→流星试炼）的难度梯度合理性；</w:t>
      </w:r>
    </w:p>
    <w:p w14:paraId="18A6E7F6">
      <w:pPr>
        <w:spacing w:before="60" w:after="60"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视觉舒适度与用户疲劳程度；</w:t>
      </w:r>
    </w:p>
    <w:p w14:paraId="1AE617A4">
      <w:pPr>
        <w:spacing w:before="60" w:after="60"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系统对空间选择性注意、抗干扰能力、动态追踪能力的闭环反馈效果。</w:t>
      </w:r>
    </w:p>
    <w:p w14:paraId="409656EF">
      <w:pPr>
        <w:spacing w:before="60" w:after="60" w:line="360" w:lineRule="auto"/>
        <w:rPr>
          <w:rFonts w:hint="eastAsia" w:ascii="宋体" w:hAnsi="宋体" w:eastAsia="宋体" w:cs="宋体"/>
          <w:sz w:val="24"/>
          <w:szCs w:val="24"/>
          <w:lang w:val="en-US" w:eastAsia="zh-CN"/>
        </w:rPr>
      </w:pPr>
      <w:r>
        <w:rPr>
          <w:rFonts w:hint="eastAsia" w:ascii="黑体" w:hAnsi="黑体" w:eastAsia="黑体" w:cs="黑体"/>
          <w:sz w:val="28"/>
          <w:szCs w:val="28"/>
          <w:lang w:val="en-US" w:eastAsia="zh-CN"/>
        </w:rPr>
        <w:t>3.1.2 测试环境</w:t>
      </w:r>
    </w:p>
    <w:tbl>
      <w:tblPr>
        <w:tblW w:w="7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057"/>
        <w:gridCol w:w="6463"/>
      </w:tblGrid>
      <w:tr w14:paraId="16E4F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FFFFF"/>
            <w:tcMar>
              <w:top w:w="100" w:type="dxa"/>
              <w:left w:w="0" w:type="dxa"/>
              <w:bottom w:w="100" w:type="dxa"/>
              <w:right w:w="160" w:type="dxa"/>
            </w:tcMar>
            <w:vAlign w:val="center"/>
          </w:tcPr>
          <w:p w14:paraId="5ADB2DC0">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项目</w:t>
            </w:r>
          </w:p>
        </w:tc>
        <w:tc>
          <w:tcPr>
            <w:tcW w:w="0" w:type="auto"/>
            <w:shd w:val="clear" w:color="auto" w:fill="FFFFFF"/>
            <w:tcMar>
              <w:top w:w="100" w:type="dxa"/>
              <w:left w:w="160" w:type="dxa"/>
              <w:bottom w:w="100" w:type="dxa"/>
              <w:right w:w="160" w:type="dxa"/>
            </w:tcMar>
            <w:vAlign w:val="center"/>
          </w:tcPr>
          <w:p w14:paraId="5ECD27EE">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配置说明</w:t>
            </w:r>
          </w:p>
        </w:tc>
      </w:tr>
      <w:tr w14:paraId="5572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96A7E26">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硬件设备</w:t>
            </w:r>
          </w:p>
        </w:tc>
        <w:tc>
          <w:tcPr>
            <w:tcW w:w="0" w:type="auto"/>
            <w:shd w:val="clear" w:color="auto" w:fill="FFFFFF"/>
            <w:tcMar>
              <w:top w:w="100" w:type="dxa"/>
              <w:left w:w="160" w:type="dxa"/>
              <w:bottom w:w="100" w:type="dxa"/>
              <w:right w:w="0" w:type="dxa"/>
            </w:tcMar>
            <w:vAlign w:val="center"/>
          </w:tcPr>
          <w:p w14:paraId="6A90D1D4">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HNNK五通道可穿戴脑电头环（O1、O2、C3、C4及前额参考电极）</w:t>
            </w:r>
          </w:p>
        </w:tc>
      </w:tr>
      <w:tr w14:paraId="702DC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294B943">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平台</w:t>
            </w:r>
          </w:p>
        </w:tc>
        <w:tc>
          <w:tcPr>
            <w:tcW w:w="0" w:type="auto"/>
            <w:shd w:val="clear" w:color="auto" w:fill="FFFFFF"/>
            <w:tcMar>
              <w:top w:w="100" w:type="dxa"/>
              <w:left w:w="160" w:type="dxa"/>
              <w:bottom w:w="100" w:type="dxa"/>
              <w:right w:w="0" w:type="dxa"/>
            </w:tcMar>
            <w:vAlign w:val="center"/>
          </w:tcPr>
          <w:p w14:paraId="5EFBCBF9">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HybridBCI科研科创平台，调用其SSVEP模块输出指令</w:t>
            </w:r>
          </w:p>
        </w:tc>
      </w:tr>
      <w:tr w14:paraId="1E07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8826877">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上位机</w:t>
            </w:r>
          </w:p>
        </w:tc>
        <w:tc>
          <w:tcPr>
            <w:tcW w:w="0" w:type="auto"/>
            <w:shd w:val="clear" w:color="auto" w:fill="FFFFFF"/>
            <w:tcMar>
              <w:top w:w="100" w:type="dxa"/>
              <w:left w:w="160" w:type="dxa"/>
              <w:bottom w:w="100" w:type="dxa"/>
              <w:right w:w="0" w:type="dxa"/>
            </w:tcMar>
            <w:vAlign w:val="center"/>
          </w:tcPr>
          <w:p w14:paraId="431043C8">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支持蓝牙5.0的PC或平板，用于运行训练界面与数据记录</w:t>
            </w:r>
          </w:p>
        </w:tc>
      </w:tr>
      <w:tr w14:paraId="440C6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B5FD0B2">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环境条件</w:t>
            </w:r>
          </w:p>
        </w:tc>
        <w:tc>
          <w:tcPr>
            <w:tcW w:w="0" w:type="auto"/>
            <w:shd w:val="clear" w:color="auto" w:fill="FFFFFF"/>
            <w:tcMar>
              <w:top w:w="100" w:type="dxa"/>
              <w:left w:w="160" w:type="dxa"/>
              <w:bottom w:w="100" w:type="dxa"/>
              <w:right w:w="0" w:type="dxa"/>
            </w:tcMar>
            <w:vAlign w:val="center"/>
          </w:tcPr>
          <w:p w14:paraId="30B33562">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室内安静环境，光照稳定，无明显电磁干扰</w:t>
            </w:r>
          </w:p>
        </w:tc>
      </w:tr>
      <w:tr w14:paraId="33A31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EC70906">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用户群体</w:t>
            </w:r>
          </w:p>
        </w:tc>
        <w:tc>
          <w:tcPr>
            <w:tcW w:w="0" w:type="auto"/>
            <w:shd w:val="clear" w:color="auto" w:fill="FFFFFF"/>
            <w:tcMar>
              <w:top w:w="100" w:type="dxa"/>
              <w:left w:w="160" w:type="dxa"/>
              <w:bottom w:w="100" w:type="dxa"/>
              <w:right w:w="0" w:type="dxa"/>
            </w:tcMar>
            <w:vAlign w:val="center"/>
          </w:tcPr>
          <w:p w14:paraId="3D8738A4">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健康志愿者（后期可扩展至注意困难儿童、卒中康复期患者）</w:t>
            </w:r>
          </w:p>
        </w:tc>
      </w:tr>
    </w:tbl>
    <w:p w14:paraId="747D9DAD">
      <w:pPr>
        <w:spacing w:before="60" w:after="60" w:line="360" w:lineRule="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3.1.3 测试对象</w:t>
      </w:r>
    </w:p>
    <w:p w14:paraId="674E8380">
      <w:pPr>
        <w:spacing w:before="60" w:after="60"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初期测试：</w:t>
      </w:r>
      <w:r>
        <w:rPr>
          <w:rFonts w:hint="eastAsia" w:ascii="宋体" w:hAnsi="宋体" w:cs="宋体"/>
          <w:sz w:val="24"/>
          <w:szCs w:val="24"/>
          <w:lang w:val="en-US" w:eastAsia="zh-CN"/>
        </w:rPr>
        <w:t>3</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4</w:t>
      </w:r>
      <w:r>
        <w:rPr>
          <w:rFonts w:hint="eastAsia" w:ascii="宋体" w:hAnsi="宋体" w:eastAsia="宋体" w:cs="宋体"/>
          <w:sz w:val="24"/>
          <w:szCs w:val="24"/>
          <w:lang w:val="en-US" w:eastAsia="zh-CN"/>
        </w:rPr>
        <w:t>名健康成年人（无注意力障碍史，视力或矫正视力正常）；</w:t>
      </w:r>
    </w:p>
    <w:p w14:paraId="58BBCF90">
      <w:pPr>
        <w:spacing w:before="60" w:after="60"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后续扩展：</w:t>
      </w:r>
      <w:r>
        <w:rPr>
          <w:rFonts w:hint="eastAsia" w:ascii="宋体" w:hAnsi="宋体" w:cs="宋体"/>
          <w:sz w:val="24"/>
          <w:szCs w:val="24"/>
          <w:lang w:val="en-US" w:eastAsia="zh-CN"/>
        </w:rPr>
        <w:t>1~2</w:t>
      </w:r>
      <w:r>
        <w:rPr>
          <w:rFonts w:hint="eastAsia" w:ascii="宋体" w:hAnsi="宋体" w:eastAsia="宋体" w:cs="宋体"/>
          <w:sz w:val="24"/>
          <w:szCs w:val="24"/>
          <w:lang w:val="en-US" w:eastAsia="zh-CN"/>
        </w:rPr>
        <w:t>名ADHD倾向儿童或卒中后注意功能下降患者（需伦理与监护人同意）。</w:t>
      </w:r>
    </w:p>
    <w:p w14:paraId="495855D9">
      <w:pPr>
        <w:spacing w:before="60" w:after="60" w:line="360" w:lineRule="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3.1.4 测试内容与方法</w:t>
      </w:r>
    </w:p>
    <w:p w14:paraId="48C122DD">
      <w:pPr>
        <w:spacing w:before="60" w:after="60"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（1）设备与信号质量测试</w:t>
      </w:r>
    </w:p>
    <w:p w14:paraId="72A48018">
      <w:pPr>
        <w:spacing w:before="60" w:after="60"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测试方法：系统标定流程中检查蓝牙连接、电极接触、O1/O2通道信号质量。</w:t>
      </w:r>
    </w:p>
    <w:p w14:paraId="1B5D4C88">
      <w:pPr>
        <w:spacing w:before="60" w:after="60"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通过标准：信号质量检查在3次尝试内通过。</w:t>
      </w:r>
    </w:p>
    <w:p w14:paraId="7A9CDBF9">
      <w:pPr>
        <w:spacing w:before="60" w:after="60"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（2）SSVEP指令识别与反馈延迟测试</w:t>
      </w:r>
    </w:p>
    <w:p w14:paraId="0A8D088B">
      <w:pPr>
        <w:spacing w:before="60" w:after="60"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测试方法：用户在目标闪烁区域注视10秒，记录平台输出指令与界面反馈变化的时间差。</w:t>
      </w:r>
    </w:p>
    <w:p w14:paraId="4AB334F6">
      <w:pPr>
        <w:spacing w:before="60" w:after="60"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通过标准：应用层反馈延迟 ≤ 500 ms。</w:t>
      </w:r>
    </w:p>
    <w:p w14:paraId="7B678BFA">
      <w:pPr>
        <w:spacing w:before="60" w:after="60"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（3）六级别任务梯度测试</w:t>
      </w:r>
    </w:p>
    <w:p w14:paraId="0159D554">
      <w:pPr>
        <w:spacing w:before="60" w:after="60"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测试方法：用户依次完成第1关至第6关，系统记录每关的目标识别正确率、达标时长、分心次数、恢复时间。</w:t>
      </w:r>
    </w:p>
    <w:p w14:paraId="45E5A01B">
      <w:pPr>
        <w:spacing w:before="60" w:after="60"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通过标准：第1~2关成功率≥80%，第3~4关成功率≥70%，第5~6关成功率≥60%（健康志愿者）。</w:t>
      </w:r>
    </w:p>
    <w:p w14:paraId="28C7F7E6">
      <w:pPr>
        <w:spacing w:before="60" w:after="60"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（4）目标/干扰竞争指数有效性测试</w:t>
      </w:r>
    </w:p>
    <w:p w14:paraId="4FF59DC5">
      <w:pPr>
        <w:spacing w:before="60" w:after="60"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测试方法：在第4关（真假萤火）中，记录目标频率与干扰频率的SSVEP响应比值。</w:t>
      </w:r>
    </w:p>
    <w:p w14:paraId="1579E43E">
      <w:pPr>
        <w:spacing w:before="60" w:after="60"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通过标准：用户在“稳定专注”状态下，竞争指数（目标/(目标+干扰)）≥0.7；在“明显偏离”状态下指数≤0.4。</w:t>
      </w:r>
    </w:p>
    <w:p w14:paraId="173016D6">
      <w:pPr>
        <w:spacing w:before="60" w:after="60" w:line="360" w:lineRule="auto"/>
        <w:ind w:firstLine="480"/>
        <w:rPr>
          <w:rFonts w:hint="eastAsia" w:ascii="宋体" w:hAnsi="宋体" w:eastAsia="宋体" w:cs="宋体"/>
          <w:sz w:val="24"/>
          <w:szCs w:val="24"/>
          <w:lang w:val="en-US" w:eastAsia="zh-CN"/>
        </w:rPr>
      </w:pPr>
    </w:p>
    <w:p w14:paraId="292FF76D">
      <w:pPr>
        <w:spacing w:before="60" w:after="60"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（5）视觉舒适度与疲劳评估</w:t>
      </w:r>
    </w:p>
    <w:p w14:paraId="2A23160D">
      <w:pPr>
        <w:spacing w:before="60" w:after="60"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测试方法：每次训练后用户填写主观疲劳评分（1~10分），记录是否出现眼干、头晕等不适。</w:t>
      </w:r>
    </w:p>
    <w:p w14:paraId="35E13D2A">
      <w:pPr>
        <w:spacing w:before="60" w:after="60"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通过标准：平均疲劳评分 ≤ 4分，无中重度不适报告。</w:t>
      </w:r>
    </w:p>
    <w:p w14:paraId="491E8A20">
      <w:pPr>
        <w:spacing w:before="60" w:after="60"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（6）闭环反馈体验测试</w:t>
      </w:r>
    </w:p>
    <w:p w14:paraId="1EED533A">
      <w:pPr>
        <w:spacing w:before="60" w:after="60"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测试方法：用户在第1、4、6关中观察画面变化（如花瓣绽放、光源稳定、雾气消散等），并判断是否与自身注意状态一致。</w:t>
      </w:r>
    </w:p>
    <w:p w14:paraId="55E9D8F9">
      <w:pPr>
        <w:spacing w:before="60" w:after="60"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通过标准：≥80%用户认为反馈直观、与注意状态匹配。</w:t>
      </w:r>
    </w:p>
    <w:p w14:paraId="28C8A699">
      <w:pPr>
        <w:spacing w:before="60" w:after="60" w:line="360" w:lineRule="auto"/>
        <w:rPr>
          <w:rFonts w:hint="eastAsia" w:ascii="宋体" w:hAnsi="宋体" w:eastAsia="宋体" w:cs="宋体"/>
          <w:sz w:val="24"/>
          <w:szCs w:val="24"/>
          <w:lang w:val="en-US" w:eastAsia="zh-CN"/>
        </w:rPr>
      </w:pPr>
      <w:r>
        <w:rPr>
          <w:rFonts w:hint="eastAsia" w:ascii="黑体" w:hAnsi="黑体" w:eastAsia="黑体" w:cs="黑体"/>
          <w:sz w:val="28"/>
          <w:szCs w:val="28"/>
          <w:lang w:val="en-US" w:eastAsia="zh-CN"/>
        </w:rPr>
        <w:t>3.1.5 测试流程</w:t>
      </w:r>
    </w:p>
    <w:p w14:paraId="0261980D">
      <w:pPr>
        <w:spacing w:before="60" w:after="60" w:line="360" w:lineRule="auto"/>
        <w:ind w:firstLine="480"/>
        <w:rPr>
          <w:rFonts w:hint="eastAsia" w:ascii="宋体" w:hAnsi="宋体" w:eastAsia="宋体" w:cs="宋体"/>
          <w:sz w:val="24"/>
          <w:szCs w:val="24"/>
          <w:lang w:val="en-US" w:eastAsia="zh-CN"/>
        </w:rPr>
      </w:pPr>
      <w:r>
        <w:rPr>
          <w:rFonts w:hint="eastAsia" w:ascii="宋体" w:hAnsi="宋体" w:cs="宋体"/>
          <w:sz w:val="24"/>
          <w:szCs w:val="24"/>
          <w:lang w:val="en-US" w:eastAsia="zh-CN"/>
        </w:rPr>
        <w:t>（1）</w:t>
      </w:r>
      <w:r>
        <w:rPr>
          <w:rFonts w:hint="eastAsia" w:ascii="宋体" w:hAnsi="宋体" w:eastAsia="宋体" w:cs="宋体"/>
          <w:sz w:val="24"/>
          <w:szCs w:val="24"/>
          <w:lang w:val="en-US" w:eastAsia="zh-CN"/>
        </w:rPr>
        <w:t>准备阶段：佩戴头环，检查电极接触，启动HybridBCI平台与训练界面；</w:t>
      </w:r>
    </w:p>
    <w:p w14:paraId="5235D2A3">
      <w:pPr>
        <w:spacing w:before="60" w:after="60" w:line="360" w:lineRule="auto"/>
        <w:ind w:firstLine="480"/>
        <w:rPr>
          <w:rFonts w:hint="eastAsia" w:ascii="宋体" w:hAnsi="宋体" w:eastAsia="宋体" w:cs="宋体"/>
          <w:sz w:val="24"/>
          <w:szCs w:val="24"/>
          <w:lang w:val="en-US" w:eastAsia="zh-CN"/>
        </w:rPr>
      </w:pPr>
      <w:r>
        <w:rPr>
          <w:rFonts w:hint="eastAsia" w:ascii="宋体" w:hAnsi="宋体" w:cs="宋体"/>
          <w:sz w:val="24"/>
          <w:szCs w:val="24"/>
          <w:lang w:val="en-US" w:eastAsia="zh-CN"/>
        </w:rPr>
        <w:t>（2）</w:t>
      </w:r>
      <w:r>
        <w:rPr>
          <w:rFonts w:hint="eastAsia" w:ascii="宋体" w:hAnsi="宋体" w:eastAsia="宋体" w:cs="宋体"/>
          <w:sz w:val="24"/>
          <w:szCs w:val="24"/>
          <w:lang w:val="en-US" w:eastAsia="zh-CN"/>
        </w:rPr>
        <w:t>标定阶段：执行短时标定，确认SSVEP响应可用；</w:t>
      </w:r>
    </w:p>
    <w:p w14:paraId="718BC0E4">
      <w:pPr>
        <w:spacing w:before="60" w:after="60" w:line="360" w:lineRule="auto"/>
        <w:ind w:firstLine="480"/>
        <w:rPr>
          <w:rFonts w:hint="eastAsia" w:ascii="宋体" w:hAnsi="宋体" w:eastAsia="宋体" w:cs="宋体"/>
          <w:sz w:val="24"/>
          <w:szCs w:val="24"/>
          <w:lang w:val="en-US" w:eastAsia="zh-CN"/>
        </w:rPr>
      </w:pPr>
      <w:r>
        <w:rPr>
          <w:rFonts w:hint="eastAsia" w:ascii="宋体" w:hAnsi="宋体" w:cs="宋体"/>
          <w:sz w:val="24"/>
          <w:szCs w:val="24"/>
          <w:lang w:val="en-US" w:eastAsia="zh-CN"/>
        </w:rPr>
        <w:t>（3）</w:t>
      </w:r>
      <w:r>
        <w:rPr>
          <w:rFonts w:hint="eastAsia" w:ascii="宋体" w:hAnsi="宋体" w:eastAsia="宋体" w:cs="宋体"/>
          <w:sz w:val="24"/>
          <w:szCs w:val="24"/>
          <w:lang w:val="en-US" w:eastAsia="zh-CN"/>
        </w:rPr>
        <w:t>训练阶段：用户依次完成1~6关，系统自动记录数据；</w:t>
      </w:r>
    </w:p>
    <w:p w14:paraId="3DD61C6D">
      <w:pPr>
        <w:spacing w:before="60" w:after="60" w:line="360" w:lineRule="auto"/>
        <w:ind w:firstLine="480"/>
        <w:rPr>
          <w:rFonts w:hint="eastAsia" w:ascii="宋体" w:hAnsi="宋体" w:eastAsia="宋体" w:cs="宋体"/>
          <w:sz w:val="24"/>
          <w:szCs w:val="24"/>
          <w:lang w:val="en-US" w:eastAsia="zh-CN"/>
        </w:rPr>
      </w:pPr>
      <w:r>
        <w:rPr>
          <w:rFonts w:hint="eastAsia" w:ascii="宋体" w:hAnsi="宋体" w:cs="宋体"/>
          <w:sz w:val="24"/>
          <w:szCs w:val="24"/>
          <w:lang w:val="en-US" w:eastAsia="zh-CN"/>
        </w:rPr>
        <w:t>（4）</w:t>
      </w:r>
      <w:r>
        <w:rPr>
          <w:rFonts w:hint="eastAsia" w:ascii="宋体" w:hAnsi="宋体" w:eastAsia="宋体" w:cs="宋体"/>
          <w:sz w:val="24"/>
          <w:szCs w:val="24"/>
          <w:lang w:val="en-US" w:eastAsia="zh-CN"/>
        </w:rPr>
        <w:t>反馈阶段：展示训练报告（有效专注时长、竞争指数、恢复时间等）；</w:t>
      </w:r>
    </w:p>
    <w:p w14:paraId="3F4CAC6F">
      <w:pPr>
        <w:spacing w:before="60" w:after="60" w:line="360" w:lineRule="auto"/>
        <w:ind w:firstLine="480"/>
        <w:rPr>
          <w:rFonts w:hint="eastAsia" w:ascii="宋体" w:hAnsi="宋体" w:eastAsia="宋体" w:cs="宋体"/>
          <w:sz w:val="24"/>
          <w:szCs w:val="24"/>
          <w:lang w:val="en-US" w:eastAsia="zh-CN"/>
        </w:rPr>
      </w:pPr>
      <w:r>
        <w:rPr>
          <w:rFonts w:hint="eastAsia" w:ascii="宋体" w:hAnsi="宋体" w:cs="宋体"/>
          <w:sz w:val="24"/>
          <w:szCs w:val="24"/>
          <w:lang w:val="en-US" w:eastAsia="zh-CN"/>
        </w:rPr>
        <w:t>（5）</w:t>
      </w:r>
      <w:r>
        <w:rPr>
          <w:rFonts w:hint="eastAsia" w:ascii="宋体" w:hAnsi="宋体" w:eastAsia="宋体" w:cs="宋体"/>
          <w:sz w:val="24"/>
          <w:szCs w:val="24"/>
          <w:lang w:val="en-US" w:eastAsia="zh-CN"/>
        </w:rPr>
        <w:t xml:space="preserve"> 评估阶段：用户填写疲劳评分与体验问卷。</w:t>
      </w:r>
    </w:p>
    <w:p w14:paraId="7C461E8C">
      <w:pPr>
        <w:spacing w:before="60" w:after="60" w:line="360" w:lineRule="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3.1.6 数据记录内容</w:t>
      </w:r>
    </w:p>
    <w:tbl>
      <w:tblPr>
        <w:tblW w:w="7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205"/>
        <w:gridCol w:w="5315"/>
      </w:tblGrid>
      <w:tr w14:paraId="66A33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FFFFF"/>
            <w:tcMar>
              <w:top w:w="100" w:type="dxa"/>
              <w:left w:w="0" w:type="dxa"/>
              <w:bottom w:w="100" w:type="dxa"/>
              <w:right w:w="160" w:type="dxa"/>
            </w:tcMar>
            <w:vAlign w:val="center"/>
          </w:tcPr>
          <w:p w14:paraId="3D8912B5">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数据类型</w:t>
            </w:r>
          </w:p>
        </w:tc>
        <w:tc>
          <w:tcPr>
            <w:tcW w:w="0" w:type="auto"/>
            <w:shd w:val="clear" w:color="auto" w:fill="FFFFFF"/>
            <w:tcMar>
              <w:top w:w="100" w:type="dxa"/>
              <w:left w:w="160" w:type="dxa"/>
              <w:bottom w:w="100" w:type="dxa"/>
              <w:right w:w="160" w:type="dxa"/>
            </w:tcMar>
            <w:vAlign w:val="center"/>
          </w:tcPr>
          <w:p w14:paraId="03638C85">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记录方式</w:t>
            </w:r>
          </w:p>
        </w:tc>
      </w:tr>
      <w:tr w14:paraId="04743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EE8DC5C">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设备连接状态</w:t>
            </w:r>
          </w:p>
        </w:tc>
        <w:tc>
          <w:tcPr>
            <w:tcW w:w="0" w:type="auto"/>
            <w:shd w:val="clear" w:color="auto" w:fill="FFFFFF"/>
            <w:tcMar>
              <w:top w:w="100" w:type="dxa"/>
              <w:left w:w="160" w:type="dxa"/>
              <w:bottom w:w="100" w:type="dxa"/>
              <w:right w:w="0" w:type="dxa"/>
            </w:tcMar>
            <w:vAlign w:val="center"/>
          </w:tcPr>
          <w:p w14:paraId="1EE7DF14">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每次启动记录成功/失败次数</w:t>
            </w:r>
          </w:p>
        </w:tc>
      </w:tr>
      <w:tr w14:paraId="48C17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9C90149">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通道信号质量</w:t>
            </w:r>
          </w:p>
        </w:tc>
        <w:tc>
          <w:tcPr>
            <w:tcW w:w="0" w:type="auto"/>
            <w:shd w:val="clear" w:color="auto" w:fill="FFFFFF"/>
            <w:tcMar>
              <w:top w:w="100" w:type="dxa"/>
              <w:left w:w="160" w:type="dxa"/>
              <w:bottom w:w="100" w:type="dxa"/>
              <w:right w:w="0" w:type="dxa"/>
            </w:tcMar>
            <w:vAlign w:val="center"/>
          </w:tcPr>
          <w:p w14:paraId="4EC72509">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标定页面自动记录</w:t>
            </w:r>
          </w:p>
        </w:tc>
      </w:tr>
      <w:tr w14:paraId="6E36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500C1E5">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SSVEP识别结果</w:t>
            </w:r>
          </w:p>
        </w:tc>
        <w:tc>
          <w:tcPr>
            <w:tcW w:w="0" w:type="auto"/>
            <w:shd w:val="clear" w:color="auto" w:fill="FFFFFF"/>
            <w:tcMar>
              <w:top w:w="100" w:type="dxa"/>
              <w:left w:w="160" w:type="dxa"/>
              <w:bottom w:w="100" w:type="dxa"/>
              <w:right w:w="0" w:type="dxa"/>
            </w:tcMar>
            <w:vAlign w:val="center"/>
          </w:tcPr>
          <w:p w14:paraId="0DDF7D0E">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平台输出指令及时间戳</w:t>
            </w:r>
          </w:p>
        </w:tc>
      </w:tr>
      <w:tr w14:paraId="21460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883ABB1">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训练关卡与时间</w:t>
            </w:r>
          </w:p>
        </w:tc>
        <w:tc>
          <w:tcPr>
            <w:tcW w:w="0" w:type="auto"/>
            <w:shd w:val="clear" w:color="auto" w:fill="FFFFFF"/>
            <w:tcMar>
              <w:top w:w="100" w:type="dxa"/>
              <w:left w:w="160" w:type="dxa"/>
              <w:bottom w:w="100" w:type="dxa"/>
              <w:right w:w="0" w:type="dxa"/>
            </w:tcMar>
            <w:vAlign w:val="center"/>
          </w:tcPr>
          <w:p w14:paraId="69516962">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每关开始/结束时间，总训练时长</w:t>
            </w:r>
          </w:p>
        </w:tc>
      </w:tr>
      <w:tr w14:paraId="05092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E1425A6">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竞争指数</w:t>
            </w:r>
          </w:p>
        </w:tc>
        <w:tc>
          <w:tcPr>
            <w:tcW w:w="0" w:type="auto"/>
            <w:shd w:val="clear" w:color="auto" w:fill="FFFFFF"/>
            <w:tcMar>
              <w:top w:w="100" w:type="dxa"/>
              <w:left w:w="160" w:type="dxa"/>
              <w:bottom w:w="100" w:type="dxa"/>
              <w:right w:w="0" w:type="dxa"/>
            </w:tcMar>
            <w:vAlign w:val="center"/>
          </w:tcPr>
          <w:p w14:paraId="56CD11D4">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目标响应/（目标响应+干扰响应），每帧或每秒记录</w:t>
            </w:r>
          </w:p>
        </w:tc>
      </w:tr>
      <w:tr w14:paraId="37551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FD34E7F">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分心次数与恢复时间</w:t>
            </w:r>
          </w:p>
        </w:tc>
        <w:tc>
          <w:tcPr>
            <w:tcW w:w="0" w:type="auto"/>
            <w:shd w:val="clear" w:color="auto" w:fill="FFFFFF"/>
            <w:tcMar>
              <w:top w:w="100" w:type="dxa"/>
              <w:left w:w="160" w:type="dxa"/>
              <w:bottom w:w="100" w:type="dxa"/>
              <w:right w:w="0" w:type="dxa"/>
            </w:tcMar>
            <w:vAlign w:val="center"/>
          </w:tcPr>
          <w:p w14:paraId="5DFA1FE4">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系统根据竞争指数低于阈值自动标记</w:t>
            </w:r>
          </w:p>
        </w:tc>
      </w:tr>
      <w:tr w14:paraId="4D43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C267DCA">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用户疲劳评分</w:t>
            </w:r>
          </w:p>
        </w:tc>
        <w:tc>
          <w:tcPr>
            <w:tcW w:w="0" w:type="auto"/>
            <w:shd w:val="clear" w:color="auto" w:fill="FFFFFF"/>
            <w:tcMar>
              <w:top w:w="100" w:type="dxa"/>
              <w:left w:w="160" w:type="dxa"/>
              <w:bottom w:w="100" w:type="dxa"/>
              <w:right w:w="0" w:type="dxa"/>
            </w:tcMar>
            <w:vAlign w:val="center"/>
          </w:tcPr>
          <w:p w14:paraId="56BB6959">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训练后手动输入</w:t>
            </w:r>
          </w:p>
        </w:tc>
      </w:tr>
      <w:tr w14:paraId="4DF2C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9FB200B">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主观体验反馈</w:t>
            </w:r>
          </w:p>
        </w:tc>
        <w:tc>
          <w:tcPr>
            <w:tcW w:w="0" w:type="auto"/>
            <w:shd w:val="clear" w:color="auto" w:fill="FFFFFF"/>
            <w:tcMar>
              <w:top w:w="100" w:type="dxa"/>
              <w:left w:w="160" w:type="dxa"/>
              <w:bottom w:w="100" w:type="dxa"/>
              <w:right w:w="0" w:type="dxa"/>
            </w:tcMar>
            <w:vAlign w:val="center"/>
          </w:tcPr>
          <w:p w14:paraId="452799BC">
            <w:pPr>
              <w:keepNext w:val="0"/>
              <w:keepLines w:val="0"/>
              <w:widowControl/>
              <w:suppressLineNumbers w:val="0"/>
              <w:spacing w:line="250" w:lineRule="atLeast"/>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开放式问卷或Likert量表</w:t>
            </w:r>
          </w:p>
        </w:tc>
      </w:tr>
    </w:tbl>
    <w:p w14:paraId="1BFD8F46">
      <w:pPr>
        <w:widowControl w:val="0"/>
        <w:spacing w:before="60" w:after="60" w:line="360" w:lineRule="auto"/>
        <w:jc w:val="both"/>
        <w:rPr>
          <w:rFonts w:hint="eastAsia" w:ascii="宋体" w:hAnsi="宋体" w:eastAsia="宋体" w:cs="宋体"/>
          <w:kern w:val="2"/>
          <w:sz w:val="24"/>
          <w:szCs w:val="24"/>
          <w:lang w:val="en-US" w:eastAsia="zh-CN" w:bidi="ar-SA"/>
        </w:rPr>
      </w:pPr>
      <w:bookmarkStart w:id="0" w:name="_GoBack"/>
      <w:bookmarkEnd w:id="0"/>
    </w:p>
    <w:p w14:paraId="4FD829A6">
      <w:pPr>
        <w:tabs>
          <w:tab w:val="right" w:leader="dot" w:pos="8280"/>
        </w:tabs>
        <w:spacing w:line="400" w:lineRule="exact"/>
        <w:rPr>
          <w:rFonts w:hint="default" w:ascii="黑体" w:hAnsi="黑体" w:eastAsia="黑体" w:cs="黑体"/>
          <w:bCs/>
          <w:sz w:val="30"/>
          <w:szCs w:val="30"/>
          <w:lang w:val="en-US" w:eastAsia="zh-CN"/>
        </w:rPr>
      </w:pPr>
      <w:r>
        <w:rPr>
          <w:rFonts w:hint="eastAsia" w:ascii="黑体" w:hAnsi="黑体" w:eastAsia="黑体" w:cs="黑体"/>
          <w:bCs/>
          <w:sz w:val="30"/>
          <w:szCs w:val="30"/>
          <w:lang w:val="en-US" w:eastAsia="zh-CN"/>
        </w:rPr>
        <w:t>3.2 测试结果</w:t>
      </w:r>
    </w:p>
    <w:p w14:paraId="3872CD81">
      <w:pPr>
        <w:tabs>
          <w:tab w:val="right" w:leader="dot" w:pos="8280"/>
        </w:tabs>
        <w:spacing w:line="400" w:lineRule="exact"/>
        <w:rPr>
          <w:rFonts w:hint="eastAsia" w:ascii="黑体" w:hAnsi="黑体" w:eastAsia="黑体" w:cs="黑体"/>
          <w:bCs/>
          <w:sz w:val="30"/>
          <w:szCs w:val="30"/>
        </w:rPr>
      </w:pPr>
      <w:r>
        <w:rPr>
          <w:rFonts w:hint="eastAsia" w:ascii="黑体" w:hAnsi="黑体" w:eastAsia="黑体" w:cs="黑体"/>
          <w:sz w:val="30"/>
          <w:szCs w:val="30"/>
        </w:rPr>
        <w:t>3.3 技术可行性分析及创新说明</w:t>
      </w:r>
    </w:p>
    <w:p w14:paraId="72271E71">
      <w:pPr>
        <w:spacing w:before="60" w:after="60" w:line="360" w:lineRule="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3.3.1技术可行性分析</w:t>
      </w:r>
    </w:p>
    <w:p w14:paraId="6C1DBC96">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项目技术路线分为三个阶段。</w:t>
      </w:r>
    </w:p>
    <w:p w14:paraId="37D50407">
      <w:pPr>
        <w:spacing w:before="200"/>
        <w:jc w:val="center"/>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4953000" cy="304800"/>
            <wp:effectExtent l="0" t="0" r="0" b="0"/>
            <wp:docPr id="1256463535" name="图4：系统实现路径。方案优先使用赛方平台现有 SSVEP 指令输出，降低接入风险，再逐步扩展目标/干扰竞争指数和训练记录。" descr="图4：系统实现路径。方案优先使用赛方平台现有 SSVEP 指令输出，降低接入风险，再逐步扩展目标/干扰竞争指数和训练记录。" title="图4：系统实现路径。方案优先使用赛方平台现有 SSVEP 指令输出，降低接入风险，再逐步扩展目标/干扰竞争指数和训练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63535" name="图4：系统实现路径。方案优先使用赛方平台现有 SSVEP 指令输出，降低接入风险，再逐步扩展目标/干扰竞争指数和训练记录。" descr="图4：系统实现路径。方案优先使用赛方平台现有 SSVEP 指令输出，降低接入风险，再逐步扩展目标/干扰竞争指数和训练记录。" title="图4：系统实现路径。方案优先使用赛方平台现有 SSVEP 指令输出，降低接入风险，再逐步扩展目标/干扰竞争指数和训练记录。"/>
                    <pic:cNvPicPr>
                      <a:picLocks noChangeAspect="1" noChangeArrowheads="1"/>
                    </pic:cNvPicPr>
                  </pic:nvPicPr>
                  <pic:blipFill>
                    <a:blip r:embed="rId18"/>
                    <a:srcRect/>
                    <a:stretch>
                      <a:fillRect/>
                    </a:stretch>
                  </pic:blipFill>
                  <pic:spPr>
                    <a:xfrm>
                      <a:off x="0" y="0"/>
                      <a:ext cx="4953000" cy="304800"/>
                    </a:xfrm>
                    <a:prstGeom prst="rect">
                      <a:avLst/>
                    </a:prstGeom>
                  </pic:spPr>
                </pic:pic>
              </a:graphicData>
            </a:graphic>
          </wp:inline>
        </w:drawing>
      </w:r>
    </w:p>
    <w:p w14:paraId="58BD9426">
      <w:pPr>
        <w:spacing w:before="100" w:after="200"/>
        <w:jc w:val="center"/>
        <w:rPr>
          <w:rFonts w:hint="eastAsia" w:ascii="宋体" w:hAnsi="宋体" w:eastAsia="宋体" w:cs="宋体"/>
          <w:sz w:val="24"/>
          <w:szCs w:val="24"/>
        </w:rPr>
      </w:pPr>
      <w:r>
        <w:rPr>
          <w:rFonts w:hint="eastAsia" w:ascii="宋体" w:hAnsi="宋体" w:eastAsia="宋体" w:cs="宋体"/>
          <w:sz w:val="24"/>
          <w:szCs w:val="24"/>
        </w:rPr>
        <w:t>图4：系统实现路径。方案优先使用赛方平台现有 SSVEP 指令输出，降低接入风险，再逐步扩展目标/干扰竞争指数和训练记录。</w:t>
      </w:r>
    </w:p>
    <w:p w14:paraId="0F790222">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第一阶段为视觉任务与交互原型验证。本阶段已经完成基础场景、六级任务和注意力反馈逻辑的设计。该阶段的目标是证明 SSVEP 刺激可以被自然地嵌入训练场景中，且任务梯度可以从低干扰持续注视逐步过渡到高负荷抗干扰控制。该阶段还用于确定界面框架、训练流程、数据记录字段和演示路径。</w:t>
      </w:r>
    </w:p>
    <w:p w14:paraId="2BF77943">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第二阶段为赛方设备接入与闭环演示。系统将使用 HNNK 头环完成佩戴、蓝牙连接和信号质量检查，通过 HybridBCI 平台调用 SSVEP 模块，获取目标选择或频率识别结果。应用层将这些结果映射为训练状态，驱动画面中的目标亮度、场景清晰度、环境声音和关卡进度。</w:t>
      </w:r>
    </w:p>
    <w:p w14:paraId="5A4ABE2B">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第三阶段为评估和优化。系统将进行健康志愿者小样本测试，重点验证四项指标：SSVEP 指令触发稳定性、训练反馈延迟、用户视觉疲劳评分、不同关卡的难度梯度是否合理。若时间允许，再加入目标/干扰双频竞争任务，比较有反馈和无反馈条件下的持续注视时间、分心恢复时间和任务正确率。</w:t>
      </w:r>
    </w:p>
    <w:p w14:paraId="0D5B594D">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阶段性技术指标如下：</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9"/>
        <w:gridCol w:w="2769"/>
        <w:gridCol w:w="2768"/>
      </w:tblGrid>
      <w:tr w14:paraId="6D804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9" w:type="dxa"/>
            <w:tcBorders>
              <w:top w:val="single" w:color="999999" w:sz="0" w:space="0"/>
              <w:left w:val="single" w:color="999999" w:sz="0" w:space="0"/>
              <w:bottom w:val="single" w:color="999999" w:sz="0" w:space="0"/>
              <w:right w:val="single" w:color="999999" w:sz="0" w:space="0"/>
            </w:tcBorders>
            <w:shd w:val="clear" w:color="auto" w:fill="E8F0FE"/>
            <w:tcMar>
              <w:top w:w="60" w:type="dxa"/>
              <w:left w:w="100" w:type="dxa"/>
              <w:bottom w:w="60" w:type="dxa"/>
              <w:right w:w="100" w:type="dxa"/>
            </w:tcMar>
            <w:vAlign w:val="center"/>
          </w:tcPr>
          <w:p w14:paraId="436A77C4">
            <w:pPr>
              <w:spacing w:before="40" w:after="40"/>
              <w:jc w:val="center"/>
              <w:rPr>
                <w:rFonts w:hint="eastAsia" w:ascii="宋体" w:hAnsi="宋体" w:eastAsia="宋体" w:cs="宋体"/>
                <w:sz w:val="24"/>
                <w:szCs w:val="24"/>
              </w:rPr>
            </w:pPr>
            <w:r>
              <w:rPr>
                <w:rFonts w:hint="eastAsia" w:ascii="宋体" w:hAnsi="宋体" w:eastAsia="宋体" w:cs="宋体"/>
                <w:b/>
                <w:bCs/>
                <w:sz w:val="24"/>
                <w:szCs w:val="24"/>
              </w:rPr>
              <w:t>指标</w:t>
            </w:r>
          </w:p>
        </w:tc>
        <w:tc>
          <w:tcPr>
            <w:tcW w:w="2769" w:type="dxa"/>
            <w:tcBorders>
              <w:top w:val="single" w:color="999999" w:sz="0" w:space="0"/>
              <w:left w:val="single" w:color="999999" w:sz="0" w:space="0"/>
              <w:bottom w:val="single" w:color="999999" w:sz="0" w:space="0"/>
              <w:right w:val="single" w:color="999999" w:sz="0" w:space="0"/>
            </w:tcBorders>
            <w:shd w:val="clear" w:color="auto" w:fill="E8F0FE"/>
            <w:tcMar>
              <w:top w:w="60" w:type="dxa"/>
              <w:left w:w="100" w:type="dxa"/>
              <w:bottom w:w="60" w:type="dxa"/>
              <w:right w:w="100" w:type="dxa"/>
            </w:tcMar>
            <w:vAlign w:val="center"/>
          </w:tcPr>
          <w:p w14:paraId="6C4CDCAC">
            <w:pPr>
              <w:spacing w:before="40" w:after="40"/>
              <w:jc w:val="center"/>
              <w:rPr>
                <w:rFonts w:hint="eastAsia" w:ascii="宋体" w:hAnsi="宋体" w:eastAsia="宋体" w:cs="宋体"/>
                <w:sz w:val="24"/>
                <w:szCs w:val="24"/>
              </w:rPr>
            </w:pPr>
            <w:r>
              <w:rPr>
                <w:rFonts w:hint="eastAsia" w:ascii="宋体" w:hAnsi="宋体" w:eastAsia="宋体" w:cs="宋体"/>
                <w:b/>
                <w:bCs/>
                <w:sz w:val="24"/>
                <w:szCs w:val="24"/>
              </w:rPr>
              <w:t>阶段性目标</w:t>
            </w:r>
          </w:p>
        </w:tc>
        <w:tc>
          <w:tcPr>
            <w:tcW w:w="2768" w:type="dxa"/>
            <w:tcBorders>
              <w:top w:val="single" w:color="999999" w:sz="0" w:space="0"/>
              <w:left w:val="single" w:color="999999" w:sz="0" w:space="0"/>
              <w:bottom w:val="single" w:color="999999" w:sz="0" w:space="0"/>
              <w:right w:val="single" w:color="999999" w:sz="0" w:space="0"/>
            </w:tcBorders>
            <w:shd w:val="clear" w:color="auto" w:fill="E8F0FE"/>
            <w:tcMar>
              <w:top w:w="60" w:type="dxa"/>
              <w:left w:w="100" w:type="dxa"/>
              <w:bottom w:w="60" w:type="dxa"/>
              <w:right w:w="100" w:type="dxa"/>
            </w:tcMar>
            <w:vAlign w:val="center"/>
          </w:tcPr>
          <w:p w14:paraId="2A35C98C">
            <w:pPr>
              <w:spacing w:before="40" w:after="40"/>
              <w:jc w:val="center"/>
              <w:rPr>
                <w:rFonts w:hint="eastAsia" w:ascii="宋体" w:hAnsi="宋体" w:eastAsia="宋体" w:cs="宋体"/>
                <w:sz w:val="24"/>
                <w:szCs w:val="24"/>
              </w:rPr>
            </w:pPr>
            <w:r>
              <w:rPr>
                <w:rFonts w:hint="eastAsia" w:ascii="宋体" w:hAnsi="宋体" w:eastAsia="宋体" w:cs="宋体"/>
                <w:b/>
                <w:bCs/>
                <w:sz w:val="24"/>
                <w:szCs w:val="24"/>
              </w:rPr>
              <w:t>说明</w:t>
            </w:r>
          </w:p>
        </w:tc>
      </w:tr>
      <w:tr w14:paraId="53C3A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9"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C71AC67">
            <w:pPr>
              <w:spacing w:before="40" w:after="40"/>
              <w:jc w:val="center"/>
              <w:rPr>
                <w:rFonts w:hint="eastAsia" w:ascii="宋体" w:hAnsi="宋体" w:eastAsia="宋体" w:cs="宋体"/>
                <w:sz w:val="24"/>
                <w:szCs w:val="24"/>
              </w:rPr>
            </w:pPr>
            <w:r>
              <w:rPr>
                <w:rFonts w:hint="eastAsia" w:ascii="宋体" w:hAnsi="宋体" w:eastAsia="宋体" w:cs="宋体"/>
                <w:sz w:val="24"/>
                <w:szCs w:val="24"/>
              </w:rPr>
              <w:t>设备连接成功率</w:t>
            </w:r>
          </w:p>
        </w:tc>
        <w:tc>
          <w:tcPr>
            <w:tcW w:w="2769"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0642AC8">
            <w:pPr>
              <w:spacing w:before="40" w:after="40"/>
              <w:jc w:val="center"/>
              <w:rPr>
                <w:rFonts w:hint="eastAsia" w:ascii="宋体" w:hAnsi="宋体" w:eastAsia="宋体" w:cs="宋体"/>
                <w:sz w:val="24"/>
                <w:szCs w:val="24"/>
              </w:rPr>
            </w:pPr>
            <w:r>
              <w:rPr>
                <w:rFonts w:hint="eastAsia" w:ascii="宋体" w:hAnsi="宋体" w:eastAsia="宋体" w:cs="宋体"/>
                <w:sz w:val="24"/>
                <w:szCs w:val="24"/>
              </w:rPr>
              <w:t>常规演示环境下稳定连接</w:t>
            </w:r>
          </w:p>
        </w:tc>
        <w:tc>
          <w:tcPr>
            <w:tcW w:w="276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6333DEE">
            <w:pPr>
              <w:spacing w:before="40" w:after="40"/>
              <w:rPr>
                <w:rFonts w:hint="eastAsia" w:ascii="宋体" w:hAnsi="宋体" w:eastAsia="宋体" w:cs="宋体"/>
                <w:sz w:val="24"/>
                <w:szCs w:val="24"/>
              </w:rPr>
            </w:pPr>
            <w:r>
              <w:rPr>
                <w:rFonts w:hint="eastAsia" w:ascii="宋体" w:hAnsi="宋体" w:eastAsia="宋体" w:cs="宋体"/>
                <w:sz w:val="24"/>
                <w:szCs w:val="24"/>
              </w:rPr>
              <w:t>蓝牙连接、设备识别、通道读取流程可重复</w:t>
            </w:r>
          </w:p>
        </w:tc>
      </w:tr>
      <w:tr w14:paraId="275FF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9"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38F4911">
            <w:pPr>
              <w:spacing w:before="40" w:after="40"/>
              <w:jc w:val="center"/>
              <w:rPr>
                <w:rFonts w:hint="eastAsia" w:ascii="宋体" w:hAnsi="宋体" w:eastAsia="宋体" w:cs="宋体"/>
                <w:sz w:val="24"/>
                <w:szCs w:val="24"/>
              </w:rPr>
            </w:pPr>
            <w:r>
              <w:rPr>
                <w:rFonts w:hint="eastAsia" w:ascii="宋体" w:hAnsi="宋体" w:eastAsia="宋体" w:cs="宋体"/>
                <w:sz w:val="24"/>
                <w:szCs w:val="24"/>
              </w:rPr>
              <w:t>训练反馈延迟</w:t>
            </w:r>
          </w:p>
        </w:tc>
        <w:tc>
          <w:tcPr>
            <w:tcW w:w="2769"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DBC09EB">
            <w:pPr>
              <w:spacing w:before="40" w:after="40"/>
              <w:jc w:val="center"/>
              <w:rPr>
                <w:rFonts w:hint="eastAsia" w:ascii="宋体" w:hAnsi="宋体" w:eastAsia="宋体" w:cs="宋体"/>
                <w:sz w:val="24"/>
                <w:szCs w:val="24"/>
              </w:rPr>
            </w:pPr>
            <w:r>
              <w:rPr>
                <w:rFonts w:hint="eastAsia" w:ascii="宋体" w:hAnsi="宋体" w:eastAsia="宋体" w:cs="宋体"/>
                <w:sz w:val="24"/>
                <w:szCs w:val="24"/>
              </w:rPr>
              <w:t>尽量控制在 500 ms 内</w:t>
            </w:r>
          </w:p>
        </w:tc>
        <w:tc>
          <w:tcPr>
            <w:tcW w:w="276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CC1AA29">
            <w:pPr>
              <w:spacing w:before="40" w:after="40"/>
              <w:rPr>
                <w:rFonts w:hint="eastAsia" w:ascii="宋体" w:hAnsi="宋体" w:eastAsia="宋体" w:cs="宋体"/>
                <w:sz w:val="24"/>
                <w:szCs w:val="24"/>
              </w:rPr>
            </w:pPr>
            <w:r>
              <w:rPr>
                <w:rFonts w:hint="eastAsia" w:ascii="宋体" w:hAnsi="宋体" w:eastAsia="宋体" w:cs="宋体"/>
                <w:sz w:val="24"/>
                <w:szCs w:val="24"/>
              </w:rPr>
              <w:t>从平台输出到场景反馈变化的应用层延迟</w:t>
            </w:r>
          </w:p>
        </w:tc>
      </w:tr>
      <w:tr w14:paraId="0A0FC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9"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6DD629">
            <w:pPr>
              <w:spacing w:before="40" w:after="40"/>
              <w:jc w:val="center"/>
              <w:rPr>
                <w:rFonts w:hint="eastAsia" w:ascii="宋体" w:hAnsi="宋体" w:eastAsia="宋体" w:cs="宋体"/>
                <w:sz w:val="24"/>
                <w:szCs w:val="24"/>
              </w:rPr>
            </w:pPr>
            <w:r>
              <w:rPr>
                <w:rFonts w:hint="eastAsia" w:ascii="宋体" w:hAnsi="宋体" w:eastAsia="宋体" w:cs="宋体"/>
                <w:sz w:val="24"/>
                <w:szCs w:val="24"/>
              </w:rPr>
              <w:t>单次训练时长</w:t>
            </w:r>
          </w:p>
        </w:tc>
        <w:tc>
          <w:tcPr>
            <w:tcW w:w="2769"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992B777">
            <w:pPr>
              <w:spacing w:before="40" w:after="40"/>
              <w:jc w:val="center"/>
              <w:rPr>
                <w:rFonts w:hint="eastAsia" w:ascii="宋体" w:hAnsi="宋体" w:eastAsia="宋体" w:cs="宋体"/>
                <w:sz w:val="24"/>
                <w:szCs w:val="24"/>
              </w:rPr>
            </w:pPr>
            <w:r>
              <w:rPr>
                <w:rFonts w:hint="eastAsia" w:ascii="宋体" w:hAnsi="宋体" w:eastAsia="宋体" w:cs="宋体"/>
                <w:sz w:val="24"/>
                <w:szCs w:val="24"/>
              </w:rPr>
              <w:t>5-20 分钟可配置</w:t>
            </w:r>
          </w:p>
        </w:tc>
        <w:tc>
          <w:tcPr>
            <w:tcW w:w="276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97ADD95">
            <w:pPr>
              <w:spacing w:before="40" w:after="40"/>
              <w:jc w:val="center"/>
              <w:rPr>
                <w:rFonts w:hint="eastAsia" w:ascii="宋体" w:hAnsi="宋体" w:eastAsia="宋体" w:cs="宋体"/>
                <w:sz w:val="24"/>
                <w:szCs w:val="24"/>
              </w:rPr>
            </w:pPr>
            <w:r>
              <w:rPr>
                <w:rFonts w:hint="eastAsia" w:ascii="宋体" w:hAnsi="宋体" w:eastAsia="宋体" w:cs="宋体"/>
                <w:sz w:val="24"/>
                <w:szCs w:val="24"/>
              </w:rPr>
              <w:t>适配演示、短训和后续训练研究</w:t>
            </w:r>
          </w:p>
        </w:tc>
      </w:tr>
      <w:tr w14:paraId="1D9F3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9"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5B1AC66">
            <w:pPr>
              <w:spacing w:before="40" w:after="40"/>
              <w:jc w:val="center"/>
              <w:rPr>
                <w:rFonts w:hint="eastAsia" w:ascii="宋体" w:hAnsi="宋体" w:eastAsia="宋体" w:cs="宋体"/>
                <w:sz w:val="24"/>
                <w:szCs w:val="24"/>
              </w:rPr>
            </w:pPr>
            <w:r>
              <w:rPr>
                <w:rFonts w:hint="eastAsia" w:ascii="宋体" w:hAnsi="宋体" w:eastAsia="宋体" w:cs="宋体"/>
                <w:sz w:val="24"/>
                <w:szCs w:val="24"/>
              </w:rPr>
              <w:t>关卡完整性</w:t>
            </w:r>
          </w:p>
        </w:tc>
        <w:tc>
          <w:tcPr>
            <w:tcW w:w="2769"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3C9FC4B">
            <w:pPr>
              <w:spacing w:before="40" w:after="40"/>
              <w:jc w:val="center"/>
              <w:rPr>
                <w:rFonts w:hint="eastAsia" w:ascii="宋体" w:hAnsi="宋体" w:eastAsia="宋体" w:cs="宋体"/>
                <w:sz w:val="24"/>
                <w:szCs w:val="24"/>
              </w:rPr>
            </w:pPr>
            <w:r>
              <w:rPr>
                <w:rFonts w:hint="eastAsia" w:ascii="宋体" w:hAnsi="宋体" w:eastAsia="宋体" w:cs="宋体"/>
                <w:sz w:val="24"/>
                <w:szCs w:val="24"/>
              </w:rPr>
              <w:t>六个训练关卡均可演示</w:t>
            </w:r>
          </w:p>
        </w:tc>
        <w:tc>
          <w:tcPr>
            <w:tcW w:w="276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315652">
            <w:pPr>
              <w:spacing w:before="40" w:after="40"/>
              <w:jc w:val="center"/>
              <w:rPr>
                <w:rFonts w:hint="eastAsia" w:ascii="宋体" w:hAnsi="宋体" w:eastAsia="宋体" w:cs="宋体"/>
                <w:sz w:val="24"/>
                <w:szCs w:val="24"/>
              </w:rPr>
            </w:pPr>
            <w:r>
              <w:rPr>
                <w:rFonts w:hint="eastAsia" w:ascii="宋体" w:hAnsi="宋体" w:eastAsia="宋体" w:cs="宋体"/>
                <w:sz w:val="24"/>
                <w:szCs w:val="24"/>
              </w:rPr>
              <w:t>每关有明确训练目标和反馈机制</w:t>
            </w:r>
          </w:p>
        </w:tc>
      </w:tr>
      <w:tr w14:paraId="1C980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9"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7340BC1">
            <w:pPr>
              <w:spacing w:before="40" w:after="40"/>
              <w:jc w:val="center"/>
              <w:rPr>
                <w:rFonts w:hint="eastAsia" w:ascii="宋体" w:hAnsi="宋体" w:eastAsia="宋体" w:cs="宋体"/>
                <w:sz w:val="24"/>
                <w:szCs w:val="24"/>
              </w:rPr>
            </w:pPr>
            <w:r>
              <w:rPr>
                <w:rFonts w:hint="eastAsia" w:ascii="宋体" w:hAnsi="宋体" w:eastAsia="宋体" w:cs="宋体"/>
                <w:sz w:val="24"/>
                <w:szCs w:val="24"/>
              </w:rPr>
              <w:t>视觉舒适度</w:t>
            </w:r>
          </w:p>
        </w:tc>
        <w:tc>
          <w:tcPr>
            <w:tcW w:w="2769"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7F97B58">
            <w:pPr>
              <w:spacing w:before="40" w:after="40"/>
              <w:jc w:val="center"/>
              <w:rPr>
                <w:rFonts w:hint="eastAsia" w:ascii="宋体" w:hAnsi="宋体" w:eastAsia="宋体" w:cs="宋体"/>
                <w:sz w:val="24"/>
                <w:szCs w:val="24"/>
              </w:rPr>
            </w:pPr>
            <w:r>
              <w:rPr>
                <w:rFonts w:hint="eastAsia" w:ascii="宋体" w:hAnsi="宋体" w:eastAsia="宋体" w:cs="宋体"/>
                <w:sz w:val="24"/>
                <w:szCs w:val="24"/>
              </w:rPr>
              <w:t>训练后主观疲劳评分可记录</w:t>
            </w:r>
          </w:p>
        </w:tc>
        <w:tc>
          <w:tcPr>
            <w:tcW w:w="276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40AB93">
            <w:pPr>
              <w:spacing w:before="40" w:after="40"/>
              <w:jc w:val="center"/>
              <w:rPr>
                <w:rFonts w:hint="eastAsia" w:ascii="宋体" w:hAnsi="宋体" w:eastAsia="宋体" w:cs="宋体"/>
                <w:sz w:val="24"/>
                <w:szCs w:val="24"/>
              </w:rPr>
            </w:pPr>
            <w:r>
              <w:rPr>
                <w:rFonts w:hint="eastAsia" w:ascii="宋体" w:hAnsi="宋体" w:eastAsia="宋体" w:cs="宋体"/>
                <w:sz w:val="24"/>
                <w:szCs w:val="24"/>
              </w:rPr>
              <w:t>关注闪烁疲劳和长期可接受性</w:t>
            </w:r>
          </w:p>
        </w:tc>
      </w:tr>
      <w:tr w14:paraId="37197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9"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68F2F2">
            <w:pPr>
              <w:spacing w:before="40" w:after="40"/>
              <w:jc w:val="center"/>
              <w:rPr>
                <w:rFonts w:hint="eastAsia" w:ascii="宋体" w:hAnsi="宋体" w:eastAsia="宋体" w:cs="宋体"/>
                <w:sz w:val="24"/>
                <w:szCs w:val="24"/>
              </w:rPr>
            </w:pPr>
            <w:r>
              <w:rPr>
                <w:rFonts w:hint="eastAsia" w:ascii="宋体" w:hAnsi="宋体" w:eastAsia="宋体" w:cs="宋体"/>
                <w:sz w:val="24"/>
                <w:szCs w:val="24"/>
              </w:rPr>
              <w:t>数据记录</w:t>
            </w:r>
          </w:p>
        </w:tc>
        <w:tc>
          <w:tcPr>
            <w:tcW w:w="2769"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CCFB863">
            <w:pPr>
              <w:spacing w:before="40" w:after="40"/>
              <w:rPr>
                <w:rFonts w:hint="eastAsia" w:ascii="宋体" w:hAnsi="宋体" w:eastAsia="宋体" w:cs="宋体"/>
                <w:sz w:val="24"/>
                <w:szCs w:val="24"/>
              </w:rPr>
            </w:pPr>
            <w:r>
              <w:rPr>
                <w:rFonts w:hint="eastAsia" w:ascii="宋体" w:hAnsi="宋体" w:eastAsia="宋体" w:cs="宋体"/>
                <w:sz w:val="24"/>
                <w:szCs w:val="24"/>
              </w:rPr>
              <w:t>保存训练时间、关卡、触发结果和注意指标</w:t>
            </w:r>
          </w:p>
        </w:tc>
        <w:tc>
          <w:tcPr>
            <w:tcW w:w="276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1890F61">
            <w:pPr>
              <w:spacing w:before="40" w:after="40"/>
              <w:jc w:val="center"/>
              <w:rPr>
                <w:rFonts w:hint="eastAsia" w:ascii="宋体" w:hAnsi="宋体" w:eastAsia="宋体" w:cs="宋体"/>
                <w:sz w:val="24"/>
                <w:szCs w:val="24"/>
              </w:rPr>
            </w:pPr>
            <w:r>
              <w:rPr>
                <w:rFonts w:hint="eastAsia" w:ascii="宋体" w:hAnsi="宋体" w:eastAsia="宋体" w:cs="宋体"/>
                <w:sz w:val="24"/>
                <w:szCs w:val="24"/>
              </w:rPr>
              <w:t>支持后续评估和迭代</w:t>
            </w:r>
          </w:p>
        </w:tc>
      </w:tr>
    </w:tbl>
    <w:p w14:paraId="0379BD63">
      <w:pPr>
        <w:spacing w:before="60" w:after="60" w:line="360" w:lineRule="auto"/>
        <w:rPr>
          <w:rFonts w:hint="eastAsia" w:ascii="宋体" w:hAnsi="宋体" w:eastAsia="宋体" w:cs="宋体"/>
          <w:sz w:val="24"/>
          <w:szCs w:val="24"/>
          <w:lang w:val="en-US" w:eastAsia="zh-CN"/>
        </w:rPr>
      </w:pPr>
    </w:p>
    <w:p w14:paraId="7B0ED6D9">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可行性来自三个方面。硬件层面，赛方设备提供五通道 EEG 采集，O1/O2 枕叶通道适合 SSVEP 信号采集；平台层面，HybridBCI 已支持 SSVEP 指令输出，降低了底层解码开发风险；应用层面，本项目已有完整的任务设计和场景反馈框架，能够把平台输出转化为用户可感知的训练反馈。</w:t>
      </w:r>
    </w:p>
    <w:p w14:paraId="697BDF35">
      <w:pPr>
        <w:spacing w:before="60" w:after="60"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rPr>
        <w:t>项目难点主要在于个体化标定、视觉疲劳控制和反馈延迟优化，这些问题将在标定流程、低面积刺激、训练时长限制和小样本测试中逐步处理。</w:t>
      </w:r>
    </w:p>
    <w:p w14:paraId="39B14C93">
      <w:pPr>
        <w:spacing w:line="400" w:lineRule="exact"/>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3.3.2主要创新点</w:t>
      </w:r>
    </w:p>
    <w:p w14:paraId="5DAEE0DB">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第一，系统把 SSVEP 从"脑机控制指令"扩展为"空间注意训练指标"。赛题一鼓励基于 SSVEP 指令输出设计创新应用。本项目把目标频率与干扰频率的竞争关系转化为注意力训练反馈，形成面向真实临床问题的应用场景。</w:t>
      </w:r>
    </w:p>
    <w:p w14:paraId="788485C1">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第二，任务设计围绕注意功能分层。六个关卡分别对应持续性注意、选择性注意、转移性注意、抑制控制、动态追踪和高负荷抗干扰控制，便于后续用行为量表或认知任务评估训练效果。</w:t>
      </w:r>
    </w:p>
    <w:p w14:paraId="0BA17C87">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第三，反馈机制采用自然场景语义掩蔽。SSVEP 需要周期性视觉刺激，但裸露的频闪块会增加疲劳和排斥感。本项目将刺激限制在局部小面积发光元素中，并用透明度正弦调制、低对比度和场景化反馈降低突兀感。这一设计同时服务于用户体验、刺激舒适性和长期训练可接受性。</w:t>
      </w:r>
    </w:p>
    <w:p w14:paraId="74C81D57">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第四，系统保留临床验证接口。训练记录不只保存是否成功触发指令，还保存竞争指数、达标时长、分心次数和恢复时间。后续可与 ADHD-RS、Conners 量表、CPT、Stroop、Trail Making Test 或卒中注意评估任务进行前后测对照。</w:t>
      </w:r>
    </w:p>
    <w:p w14:paraId="5CD31782">
      <w:pPr>
        <w:spacing w:before="60" w:after="60" w:line="360" w:lineRule="auto"/>
        <w:rPr>
          <w:rFonts w:hint="eastAsia" w:ascii="宋体" w:hAnsi="宋体" w:eastAsia="宋体" w:cs="宋体"/>
          <w:sz w:val="24"/>
          <w:szCs w:val="24"/>
          <w:lang w:eastAsia="zh-CN"/>
        </w:rPr>
      </w:pPr>
    </w:p>
    <w:p w14:paraId="4A2527F1">
      <w:pPr>
        <w:spacing w:line="400" w:lineRule="exact"/>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4  总结</w:t>
      </w:r>
    </w:p>
    <w:p w14:paraId="461807BA">
      <w:pPr>
        <w:spacing w:line="400" w:lineRule="exact"/>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4.1作品展示</w:t>
      </w:r>
    </w:p>
    <w:p w14:paraId="36BFA82D">
      <w:pPr>
        <w:spacing w:line="400" w:lineRule="exact"/>
        <w:rPr>
          <w:rFonts w:hint="eastAsia" w:ascii="黑体" w:hAnsi="黑体" w:eastAsia="黑体" w:cs="黑体"/>
          <w:sz w:val="30"/>
          <w:szCs w:val="30"/>
          <w:lang w:val="en-US" w:eastAsia="zh-CN"/>
        </w:rPr>
      </w:pPr>
    </w:p>
    <w:p w14:paraId="1BBF6637">
      <w:pPr>
        <w:spacing w:line="400" w:lineRule="exact"/>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4.2 应用场景与价值</w:t>
      </w:r>
    </w:p>
    <w:p w14:paraId="0B480F9A">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第一类场景是 ADHD 和注意困难儿童的辅助训练。系统可作为临床、学校心理辅导或家庭训练中的数字化工具，重点训练在干扰存在时保持目标注意的能力。它不替代诊断和治疗，但可以为训练过程提供更客观的脑电反馈。对于儿童用户，传统仪表盘式神经反馈容易造成"被测量"和"被纠正"的感受，本系统通过自然场景反馈降低对抗感，使训练更接近可持续的日常练习。</w:t>
      </w:r>
    </w:p>
    <w:p w14:paraId="4DCB617D">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第二类场景是卒中和脑损伤后的注意康复。部分患者运动功能恢复后仍存在注意搜索、视觉忽略或抗干扰困难。SSVEP 训练可设计为空间搜索和目标保持任务，帮助治疗师观察患者在左右空间、动态目标和干扰条件下的表现。系统记录的分心恢复时间、目标保持时间和空间搜索表现，可作为训练过程数据，为治疗师调整训练难度提供参考。</w:t>
      </w:r>
    </w:p>
    <w:p w14:paraId="2D44995E">
      <w:pPr>
        <w:spacing w:before="60" w:after="60" w:line="360" w:lineRule="auto"/>
        <w:ind w:firstLine="480"/>
        <w:rPr>
          <w:rFonts w:hint="eastAsia" w:ascii="宋体" w:hAnsi="宋体" w:eastAsia="宋体" w:cs="宋体"/>
          <w:sz w:val="24"/>
          <w:szCs w:val="24"/>
        </w:rPr>
      </w:pPr>
      <w:r>
        <w:rPr>
          <w:rFonts w:hint="eastAsia" w:ascii="宋体" w:hAnsi="宋体" w:eastAsia="宋体" w:cs="宋体"/>
          <w:sz w:val="24"/>
          <w:szCs w:val="24"/>
        </w:rPr>
        <w:t>第三类场景是普通人群的注意健康维护。对学生、科研人员和高压工作者而言，系统可以作为短时专注训练和正念辅助工具。相比单纯冥想应用，本系统多了一层脑电闭环；相比传统神经反馈仪表盘，它更少打断用户的训练体验。该场景强调的是注意健康维护，而不是临床治疗。</w:t>
      </w:r>
    </w:p>
    <w:p w14:paraId="3F33D388">
      <w:pPr>
        <w:spacing w:line="400" w:lineRule="exact"/>
        <w:rPr>
          <w:rFonts w:hint="eastAsia" w:ascii="宋体" w:hAnsi="宋体" w:eastAsia="宋体" w:cs="宋体"/>
          <w:sz w:val="24"/>
          <w:szCs w:val="24"/>
        </w:rPr>
      </w:pPr>
      <w:r>
        <w:rPr>
          <w:rFonts w:hint="eastAsia" w:ascii="宋体" w:hAnsi="宋体" w:eastAsia="宋体" w:cs="宋体"/>
          <w:sz w:val="24"/>
          <w:szCs w:val="24"/>
        </w:rPr>
        <w:t>第四类场景是脑机接口教育展示。赛题强调可穿戴 BCI 应用创新，本系统能够把"脑电采集—SSVEP 识别—实时反馈—应用场景"完整展示给评委和观众。与简单的菜单选择或设备控制相比，注意力训练场景更容易解释 SSVEP 的科学意义，也更能体现可穿戴脑机接口从实验室走向真实应用的价值。</w:t>
      </w:r>
    </w:p>
    <w:p w14:paraId="190EB1A3">
      <w:pPr>
        <w:spacing w:line="400" w:lineRule="exact"/>
        <w:rPr>
          <w:rFonts w:hint="eastAsia" w:ascii="宋体" w:hAnsi="宋体" w:eastAsia="宋体" w:cs="宋体"/>
          <w:sz w:val="24"/>
          <w:szCs w:val="24"/>
          <w:lang w:val="en-US" w:eastAsia="zh-CN"/>
        </w:rPr>
      </w:pPr>
    </w:p>
    <w:p w14:paraId="63AE887A">
      <w:pPr>
        <w:spacing w:line="400" w:lineRule="exac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r>
        <w:rPr>
          <w:rFonts w:hint="eastAsia" w:ascii="宋体" w:hAnsi="宋体" w:cs="宋体"/>
          <w:sz w:val="24"/>
          <w:szCs w:val="24"/>
          <w:lang w:val="en-US" w:eastAsia="zh-CN"/>
        </w:rPr>
        <w:t>3</w:t>
      </w:r>
      <w:r>
        <w:rPr>
          <w:rFonts w:hint="eastAsia" w:ascii="宋体" w:hAnsi="宋体" w:eastAsia="宋体" w:cs="宋体"/>
          <w:sz w:val="24"/>
          <w:szCs w:val="24"/>
          <w:lang w:val="en-US" w:eastAsia="zh-CN"/>
        </w:rPr>
        <w:t xml:space="preserve"> 展望</w:t>
      </w:r>
    </w:p>
    <w:p w14:paraId="19170B00">
      <w:pPr>
        <w:spacing w:line="400" w:lineRule="exact"/>
        <w:rPr>
          <w:rFonts w:hint="default" w:ascii="黑体" w:eastAsia="黑体"/>
          <w:sz w:val="30"/>
          <w:lang w:val="en-US" w:eastAsia="zh-CN"/>
        </w:rPr>
      </w:pPr>
    </w:p>
    <w:p w14:paraId="208BB096">
      <w:pPr>
        <w:spacing w:line="400" w:lineRule="exact"/>
        <w:sectPr>
          <w:headerReference r:id="rId8" w:type="default"/>
          <w:footerReference r:id="rId9" w:type="default"/>
          <w:type w:val="continuous"/>
          <w:pgSz w:w="11906" w:h="16838"/>
          <w:pgMar w:top="1701" w:right="1418" w:bottom="1418" w:left="1418" w:header="907" w:footer="851" w:gutter="567"/>
          <w:pgNumType w:start="23"/>
          <w:cols w:space="425" w:num="1"/>
          <w:docGrid w:type="lines" w:linePitch="312" w:charSpace="0"/>
        </w:sectPr>
      </w:pPr>
    </w:p>
    <w:p w14:paraId="264968E6">
      <w:pPr>
        <w:spacing w:before="360" w:after="200" w:line="360" w:lineRule="auto"/>
        <w:rPr>
          <w:rFonts w:hint="eastAsia" w:ascii="黑体" w:hAnsi="黑体" w:eastAsia="黑体" w:cs="黑体"/>
          <w:b w:val="0"/>
          <w:bCs w:val="0"/>
          <w:sz w:val="32"/>
          <w:szCs w:val="32"/>
        </w:rPr>
      </w:pPr>
      <w:r>
        <w:rPr>
          <w:rFonts w:hint="eastAsia" w:ascii="黑体" w:hAnsi="黑体" w:eastAsia="黑体" w:cs="黑体"/>
          <w:b w:val="0"/>
          <w:bCs w:val="0"/>
          <w:sz w:val="32"/>
          <w:szCs w:val="32"/>
        </w:rPr>
        <w:t>参考文献</w:t>
      </w:r>
    </w:p>
    <w:p w14:paraId="2D7C0858">
      <w:pPr>
        <w:spacing w:before="60" w:after="60" w:line="360" w:lineRule="auto"/>
        <w:ind w:firstLine="480"/>
      </w:pPr>
      <w:r>
        <w:rPr>
          <w:vertAlign w:val="superscript"/>
        </w:rPr>
        <w:t>[1]</w:t>
      </w:r>
      <w:r>
        <w:t xml:space="preserve"> Faraone S V, Banaschewski T, Coghill D, et al. The World Federation of ADHD International Consensus Statement: 208 Evidence-based Conclusions about the Disorder. Neuroscience &amp; Biobehavioral Reviews, 2021, 128: 789-818.</w:t>
      </w:r>
    </w:p>
    <w:p w14:paraId="5C960F5C">
      <w:pPr>
        <w:spacing w:before="60" w:after="60" w:line="360" w:lineRule="auto"/>
        <w:ind w:firstLine="480"/>
      </w:pPr>
      <w:r>
        <w:rPr>
          <w:vertAlign w:val="superscript"/>
        </w:rPr>
        <w:t>[2]</w:t>
      </w:r>
      <w:r>
        <w:t xml:space="preserve"> Centers for Disease Control and Prevention. Data and Statistics on ADHD. 2024. https://www.cdc.gov/adhd/data/index.html</w:t>
      </w:r>
    </w:p>
    <w:p w14:paraId="5D6509A1">
      <w:pPr>
        <w:spacing w:before="60" w:after="60" w:line="360" w:lineRule="auto"/>
        <w:ind w:firstLine="480"/>
      </w:pPr>
      <w:r>
        <w:rPr>
          <w:vertAlign w:val="superscript"/>
        </w:rPr>
        <w:t>[3]</w:t>
      </w:r>
      <w:r>
        <w:t xml:space="preserve"> World Health Organization. Autism fact sheet. 2025. https://www.who.int/news-room/fact-sheets/detail/autism-spectrum-disorders</w:t>
      </w:r>
    </w:p>
    <w:p w14:paraId="21EAEFC0">
      <w:pPr>
        <w:spacing w:before="60" w:after="60" w:line="360" w:lineRule="auto"/>
        <w:ind w:firstLine="480"/>
      </w:pPr>
      <w:r>
        <w:rPr>
          <w:vertAlign w:val="superscript"/>
        </w:rPr>
        <w:t>[4]</w:t>
      </w:r>
      <w:r>
        <w:t xml:space="preserve"> Gillespie D C, Bowen A, Chung C S, Cockburn J, Knapp P, Pollock A. Rehabilitation for post-stroke cognitive impairment: an overview of recommendations arising from systematic reviews of current evidence. Clinical Rehabilitation, 2015, 29(2): 120-128.</w:t>
      </w:r>
    </w:p>
    <w:p w14:paraId="720D9BE6">
      <w:pPr>
        <w:spacing w:before="60" w:after="60" w:line="360" w:lineRule="auto"/>
        <w:ind w:firstLine="480"/>
      </w:pPr>
      <w:r>
        <w:rPr>
          <w:vertAlign w:val="superscript"/>
        </w:rPr>
        <w:t>[5]</w:t>
      </w:r>
      <w:r>
        <w:t xml:space="preserve"> Morgan S T, Hansen J C, Hillyard S A. Selective attention to stimulus location modulates the steady-state visual evoked potential. Proceedings of the National Academy of Sciences, 1996, 93(10): 4770-4774.</w:t>
      </w:r>
    </w:p>
    <w:p w14:paraId="723FEC8D">
      <w:pPr>
        <w:spacing w:before="60" w:after="60" w:line="360" w:lineRule="auto"/>
        <w:ind w:firstLine="480"/>
      </w:pPr>
      <w:r>
        <w:rPr>
          <w:vertAlign w:val="superscript"/>
        </w:rPr>
        <w:t>[6]</w:t>
      </w:r>
      <w:r>
        <w:t xml:space="preserve"> Kim Y J, Grabowecky M, Paller K A, Muthu K, Suzuki S. Attention induces synchronization-based response gain in steady-state visual evoked potentials. Nature Neuroscience, 2007, 10: 117-125.</w:t>
      </w:r>
    </w:p>
    <w:p w14:paraId="59B438CC">
      <w:pPr>
        <w:spacing w:before="60" w:after="60" w:line="360" w:lineRule="auto"/>
        <w:ind w:firstLine="480"/>
      </w:pPr>
      <w:r>
        <w:rPr>
          <w:vertAlign w:val="superscript"/>
        </w:rPr>
        <w:t>[7]</w:t>
      </w:r>
      <w:r>
        <w:t xml:space="preserve"> Norcia A M, Appelbaum L G, Ales J M, Cottereau B R, Rossion B. The steady-state visual evoked potential in vision research: A review. Journal of Vision, 2015, 15(6): 4.</w:t>
      </w:r>
    </w:p>
    <w:p w14:paraId="1B63479E">
      <w:pPr>
        <w:spacing w:before="60" w:after="60" w:line="360" w:lineRule="auto"/>
        <w:ind w:firstLine="480"/>
      </w:pPr>
      <w:r>
        <w:rPr>
          <w:vertAlign w:val="superscript"/>
        </w:rPr>
        <w:t>[8]</w:t>
      </w:r>
      <w:r>
        <w:t xml:space="preserve"> Vialatte F B, Maurice M, Dauwels J, Cichocki A. Steady-state visually evoked potentials: focus on essential paradigms and future perspectives. Progress in Neurobiology, 2010, 90(4): 418-438.</w:t>
      </w:r>
    </w:p>
    <w:p w14:paraId="714D1F4A">
      <w:pPr>
        <w:spacing w:before="60" w:after="60" w:line="360" w:lineRule="auto"/>
        <w:ind w:firstLine="480"/>
      </w:pPr>
      <w:r>
        <w:rPr>
          <w:vertAlign w:val="superscript"/>
        </w:rPr>
        <w:t>[9]</w:t>
      </w:r>
      <w:r>
        <w:t xml:space="preserve"> Lin Z, Zhang C, Wu W, Gao X. Frequency recognition based on canonical correlation analysis for SSVEP-based BCIs. IEEE Transactions on Biomedical Engineering, 2006, 53(12): 2610-2614.</w:t>
      </w:r>
    </w:p>
    <w:p w14:paraId="50A3822E">
      <w:pPr>
        <w:spacing w:before="60" w:after="60" w:line="360" w:lineRule="auto"/>
        <w:ind w:firstLine="480"/>
      </w:pPr>
      <w:r>
        <w:rPr>
          <w:vertAlign w:val="superscript"/>
        </w:rPr>
        <w:t>[10]</w:t>
      </w:r>
      <w:r>
        <w:t xml:space="preserve"> Chinchani A M, Paliwal S, Ganesh S, et al. Tracking momentary fluctuations in human attention with a cognitive brain-machine interface. Communications Biology, 2022, 5: 1346.</w:t>
      </w:r>
    </w:p>
    <w:p w14:paraId="5512CA25">
      <w:pPr>
        <w:spacing w:before="60" w:after="60" w:line="360" w:lineRule="auto"/>
        <w:ind w:firstLine="480"/>
      </w:pPr>
      <w:r>
        <w:rPr>
          <w:vertAlign w:val="superscript"/>
        </w:rPr>
        <w:t>[11]</w:t>
      </w:r>
      <w:r>
        <w:t xml:space="preserve"> Huang X, Mak J, Wears A, et al. Using neurofeedback from steady-state visual evoked potentials to target affect-biased attention in augmented reality. 2022 IEEE Engineering in Medicine and Biology Society, 2022: 2314-2318.</w:t>
      </w:r>
    </w:p>
    <w:p w14:paraId="39030FAF">
      <w:pPr>
        <w:spacing w:before="60" w:after="60" w:line="360" w:lineRule="auto"/>
        <w:ind w:firstLine="480"/>
      </w:pPr>
      <w:r>
        <w:rPr>
          <w:vertAlign w:val="superscript"/>
        </w:rPr>
        <w:t>[12]</w:t>
      </w:r>
      <w:r>
        <w:t xml:space="preserve"> Jeunet C, Lotte F, Batail J M, Philip P, Micoulaud-Franchi J A. Neurofeedback therapy for enhancing visual attention: state-of-the-art and challenges. Frontiers in Neuroscience, 2016, 10: 352.</w:t>
      </w:r>
    </w:p>
    <w:p w14:paraId="05BD635A">
      <w:pPr>
        <w:spacing w:line="400" w:lineRule="exact"/>
      </w:pPr>
    </w:p>
    <w:sectPr>
      <w:footerReference r:id="rId10" w:type="default"/>
      <w:pgSz w:w="11906" w:h="16838"/>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 w:name="ˎ̥">
    <w:altName w:val="Times New Roman"/>
    <w:panose1 w:val="00000000000000000000"/>
    <w:charset w:val="00"/>
    <w:family w:val="roman"/>
    <w:pitch w:val="default"/>
    <w:sig w:usb0="00000000" w:usb1="00000000" w:usb2="00000000" w:usb3="00000000" w:csb0="00040001"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B2C4F">
    <w:pPr>
      <w:pStyle w:val="10"/>
      <w:framePr w:wrap="auto" w:vAnchor="text" w:hAnchor="margin" w:xAlign="center" w:y="1"/>
      <w:rPr>
        <w:rStyle w:val="19"/>
      </w:rPr>
    </w:pPr>
    <w:r>
      <w:rPr>
        <w:rStyle w:val="19"/>
      </w:rPr>
      <w:fldChar w:fldCharType="begin"/>
    </w:r>
    <w:r>
      <w:rPr>
        <w:rStyle w:val="19"/>
      </w:rPr>
      <w:instrText xml:space="preserve">PAGE  </w:instrText>
    </w:r>
    <w:r>
      <w:rPr>
        <w:rStyle w:val="19"/>
      </w:rPr>
      <w:fldChar w:fldCharType="separate"/>
    </w:r>
    <w:r>
      <w:rPr>
        <w:rStyle w:val="19"/>
      </w:rPr>
      <w:t>6</w:t>
    </w:r>
    <w:r>
      <w:rPr>
        <w:rStyle w:val="19"/>
      </w:rPr>
      <w:fldChar w:fldCharType="end"/>
    </w:r>
  </w:p>
  <w:p w14:paraId="0D1F9923">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1CCCB">
    <w:pPr>
      <w:pStyle w:val="10"/>
      <w:jc w:val="center"/>
      <w:rPr>
        <w:sz w:val="21"/>
        <w:szCs w:val="21"/>
      </w:rPr>
    </w:pPr>
    <w:r>
      <w:rPr>
        <w:rStyle w:val="19"/>
        <w:sz w:val="21"/>
        <w:szCs w:val="21"/>
      </w:rPr>
      <w:fldChar w:fldCharType="begin"/>
    </w:r>
    <w:r>
      <w:rPr>
        <w:rStyle w:val="19"/>
        <w:sz w:val="21"/>
        <w:szCs w:val="21"/>
      </w:rPr>
      <w:instrText xml:space="preserve"> PAGE </w:instrText>
    </w:r>
    <w:r>
      <w:rPr>
        <w:rStyle w:val="19"/>
        <w:sz w:val="21"/>
        <w:szCs w:val="21"/>
      </w:rPr>
      <w:fldChar w:fldCharType="separate"/>
    </w:r>
    <w:r>
      <w:rPr>
        <w:rStyle w:val="19"/>
        <w:sz w:val="21"/>
        <w:szCs w:val="21"/>
      </w:rPr>
      <w:t>III</w:t>
    </w:r>
    <w:r>
      <w:rPr>
        <w:rStyle w:val="19"/>
        <w:sz w:val="21"/>
        <w:szCs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500EC">
    <w:pPr>
      <w:pStyle w:val="10"/>
      <w:framePr w:wrap="around" w:vAnchor="text" w:hAnchor="margin" w:xAlign="center" w:y="1"/>
      <w:rPr>
        <w:rStyle w:val="19"/>
      </w:rPr>
    </w:pPr>
    <w:r>
      <w:rPr>
        <w:rStyle w:val="19"/>
      </w:rPr>
      <w:fldChar w:fldCharType="begin"/>
    </w:r>
    <w:r>
      <w:rPr>
        <w:rStyle w:val="19"/>
      </w:rPr>
      <w:instrText xml:space="preserve">PAGE  </w:instrText>
    </w:r>
    <w:r>
      <w:rPr>
        <w:rStyle w:val="19"/>
      </w:rPr>
      <w:fldChar w:fldCharType="separate"/>
    </w:r>
    <w:r>
      <w:rPr>
        <w:rStyle w:val="19"/>
      </w:rPr>
      <w:t>24</w:t>
    </w:r>
    <w:r>
      <w:rPr>
        <w:rStyle w:val="19"/>
      </w:rPr>
      <w:fldChar w:fldCharType="end"/>
    </w:r>
  </w:p>
  <w:p w14:paraId="43E13BFF">
    <w:pPr>
      <w:pStyle w:val="10"/>
      <w:jc w:val="center"/>
      <w:rPr>
        <w:szCs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2886F">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0376E">
    <w:pPr>
      <w:pStyle w:val="11"/>
      <w:rPr>
        <w:b/>
        <w:bCs/>
        <w:sz w:val="28"/>
        <w:szCs w:val="28"/>
      </w:rPr>
    </w:pPr>
    <w:r>
      <w:rPr>
        <w:rFonts w:hint="eastAsia"/>
        <w:b/>
        <w:bCs/>
        <w:sz w:val="28"/>
        <w:szCs w:val="28"/>
      </w:rPr>
      <w:t>作品名称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DC58B">
    <w:pPr>
      <w:pStyle w:val="11"/>
      <w:jc w:val="both"/>
      <w:rPr>
        <w:rFonts w:hint="eastAsia" w:ascii="宋体" w:hAnsi="宋体" w:cs="宋体"/>
      </w:rPr>
    </w:pPr>
    <w:r>
      <w:rPr>
        <w:rFonts w:hint="eastAsia" w:ascii="宋体" w:hAnsi="宋体" w:cs="宋体"/>
        <w:color w:val="000000"/>
        <w:kern w:val="0"/>
        <w:lang w:bidi="ar"/>
      </w:rPr>
      <w:t xml:space="preserve">基于××系统××设计与应用  </w:t>
    </w:r>
    <w:r>
      <w:rPr>
        <w:rFonts w:hint="eastAsia" w:ascii="黑体" w:hAnsi="黑体" w:eastAsia="黑体" w:cs="黑体"/>
        <w:b/>
        <w:bCs/>
        <w:color w:val="000000"/>
        <w:kern w:val="0"/>
        <w:sz w:val="24"/>
        <w:szCs w:val="24"/>
        <w:lang w:bidi="ar"/>
      </w:rPr>
      <w:t xml:space="preserve">                            </w:t>
    </w:r>
    <w:r>
      <w:rPr>
        <w:rFonts w:hint="eastAsia" w:ascii="宋体" w:hAnsi="宋体" w:cs="宋体"/>
        <w:color w:val="000000"/>
        <w:kern w:val="0"/>
        <w:lang w:bidi="ar"/>
      </w:rPr>
      <w:t xml:space="preserve">               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E99B8">
    <w:pPr>
      <w:pStyle w:val="11"/>
      <w:jc w:val="both"/>
    </w:pPr>
    <w:r>
      <w:rPr>
        <w:rFonts w:hint="eastAsia" w:ascii="宋体" w:hAnsi="宋体" w:cs="宋体"/>
        <w:color w:val="000000"/>
        <w:kern w:val="0"/>
        <w:lang w:bidi="ar"/>
      </w:rPr>
      <w:t>基于××系统×××设计</w:t>
    </w:r>
    <w:r>
      <w:rPr>
        <w:rFonts w:hint="eastAsia"/>
      </w:rPr>
      <w:t xml:space="preserve">                                                        目录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83993">
    <w:pPr>
      <w:pStyle w:val="11"/>
      <w:jc w:val="both"/>
    </w:pPr>
    <w:r>
      <w:rPr>
        <w:rFonts w:hint="eastAsia" w:ascii="宋体" w:hAnsi="宋体" w:cs="宋体"/>
        <w:color w:val="000000"/>
        <w:kern w:val="0"/>
        <w:lang w:bidi="ar"/>
      </w:rPr>
      <w:t>基于×××系统××设计</w:t>
    </w:r>
    <w:r>
      <w:rPr>
        <w:rFonts w:hint="eastAsia"/>
      </w:rPr>
      <w:t xml:space="preserve">                                                  3 荷载计算</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151549"/>
    <w:multiLevelType w:val="multilevel"/>
    <w:tmpl w:val="9A151549"/>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MyMTliMTAyZDRmYTMzNDUxM2IzZTJjODVkODJjNTYifQ=="/>
  </w:docVars>
  <w:rsids>
    <w:rsidRoot w:val="001B6EA2"/>
    <w:rsid w:val="000117B3"/>
    <w:rsid w:val="0001223B"/>
    <w:rsid w:val="00016A80"/>
    <w:rsid w:val="0002323D"/>
    <w:rsid w:val="00025CCC"/>
    <w:rsid w:val="00033DF5"/>
    <w:rsid w:val="00036C19"/>
    <w:rsid w:val="00050CE1"/>
    <w:rsid w:val="000773AE"/>
    <w:rsid w:val="000779D7"/>
    <w:rsid w:val="000A607D"/>
    <w:rsid w:val="000B0F1A"/>
    <w:rsid w:val="000B1753"/>
    <w:rsid w:val="000B75FD"/>
    <w:rsid w:val="000D7AE9"/>
    <w:rsid w:val="00115F90"/>
    <w:rsid w:val="0012375A"/>
    <w:rsid w:val="00135850"/>
    <w:rsid w:val="00160279"/>
    <w:rsid w:val="00166D95"/>
    <w:rsid w:val="00172856"/>
    <w:rsid w:val="00175E75"/>
    <w:rsid w:val="001A6B7B"/>
    <w:rsid w:val="001A7B8E"/>
    <w:rsid w:val="001B6EA2"/>
    <w:rsid w:val="001C08B4"/>
    <w:rsid w:val="001C3216"/>
    <w:rsid w:val="001D43EB"/>
    <w:rsid w:val="001E4955"/>
    <w:rsid w:val="00200638"/>
    <w:rsid w:val="00207610"/>
    <w:rsid w:val="0022555E"/>
    <w:rsid w:val="002A19AB"/>
    <w:rsid w:val="002A4AF7"/>
    <w:rsid w:val="002C000F"/>
    <w:rsid w:val="002C6967"/>
    <w:rsid w:val="002F5662"/>
    <w:rsid w:val="002F60A2"/>
    <w:rsid w:val="003453B7"/>
    <w:rsid w:val="0035521C"/>
    <w:rsid w:val="00360BBA"/>
    <w:rsid w:val="003640E2"/>
    <w:rsid w:val="00365364"/>
    <w:rsid w:val="00395D59"/>
    <w:rsid w:val="003D4CC3"/>
    <w:rsid w:val="003D6BB6"/>
    <w:rsid w:val="003F6FB3"/>
    <w:rsid w:val="0041794F"/>
    <w:rsid w:val="0043326A"/>
    <w:rsid w:val="00433366"/>
    <w:rsid w:val="004408F2"/>
    <w:rsid w:val="0045753D"/>
    <w:rsid w:val="004579D2"/>
    <w:rsid w:val="004C78AB"/>
    <w:rsid w:val="00505A84"/>
    <w:rsid w:val="005202D3"/>
    <w:rsid w:val="00524905"/>
    <w:rsid w:val="0056148C"/>
    <w:rsid w:val="00563E56"/>
    <w:rsid w:val="005A0F8C"/>
    <w:rsid w:val="005B04A9"/>
    <w:rsid w:val="005B08FE"/>
    <w:rsid w:val="005D105D"/>
    <w:rsid w:val="005E1541"/>
    <w:rsid w:val="005F0AAA"/>
    <w:rsid w:val="00602AAE"/>
    <w:rsid w:val="00604F42"/>
    <w:rsid w:val="00607CB2"/>
    <w:rsid w:val="00620598"/>
    <w:rsid w:val="006426A3"/>
    <w:rsid w:val="006427E4"/>
    <w:rsid w:val="006615EF"/>
    <w:rsid w:val="006965CA"/>
    <w:rsid w:val="006D1071"/>
    <w:rsid w:val="006D40C2"/>
    <w:rsid w:val="0071747B"/>
    <w:rsid w:val="00763B7D"/>
    <w:rsid w:val="00780B8D"/>
    <w:rsid w:val="00784899"/>
    <w:rsid w:val="007977FE"/>
    <w:rsid w:val="00797800"/>
    <w:rsid w:val="007B4E94"/>
    <w:rsid w:val="007F735E"/>
    <w:rsid w:val="00817894"/>
    <w:rsid w:val="008210D3"/>
    <w:rsid w:val="00825728"/>
    <w:rsid w:val="008467BB"/>
    <w:rsid w:val="0084684B"/>
    <w:rsid w:val="00853FCE"/>
    <w:rsid w:val="00871BF4"/>
    <w:rsid w:val="00893581"/>
    <w:rsid w:val="008B4FC2"/>
    <w:rsid w:val="008B79A4"/>
    <w:rsid w:val="008F76DE"/>
    <w:rsid w:val="009146F4"/>
    <w:rsid w:val="009345F9"/>
    <w:rsid w:val="00991468"/>
    <w:rsid w:val="009A223B"/>
    <w:rsid w:val="009C241E"/>
    <w:rsid w:val="009D79F5"/>
    <w:rsid w:val="00A02123"/>
    <w:rsid w:val="00A06281"/>
    <w:rsid w:val="00A14B2F"/>
    <w:rsid w:val="00A236CB"/>
    <w:rsid w:val="00A530FC"/>
    <w:rsid w:val="00A62EE3"/>
    <w:rsid w:val="00A64337"/>
    <w:rsid w:val="00A66769"/>
    <w:rsid w:val="00A80F7E"/>
    <w:rsid w:val="00A81F21"/>
    <w:rsid w:val="00AA1DA7"/>
    <w:rsid w:val="00AA71B9"/>
    <w:rsid w:val="00AB08F5"/>
    <w:rsid w:val="00AD0D7E"/>
    <w:rsid w:val="00AF4DD4"/>
    <w:rsid w:val="00B11EEE"/>
    <w:rsid w:val="00B12B59"/>
    <w:rsid w:val="00B338F2"/>
    <w:rsid w:val="00B41C24"/>
    <w:rsid w:val="00B71E33"/>
    <w:rsid w:val="00B80B09"/>
    <w:rsid w:val="00B83FF4"/>
    <w:rsid w:val="00B92842"/>
    <w:rsid w:val="00BB76D9"/>
    <w:rsid w:val="00C01EC2"/>
    <w:rsid w:val="00C1411B"/>
    <w:rsid w:val="00C21855"/>
    <w:rsid w:val="00C4551D"/>
    <w:rsid w:val="00CA6AC0"/>
    <w:rsid w:val="00CB00DC"/>
    <w:rsid w:val="00CB48A1"/>
    <w:rsid w:val="00CC7212"/>
    <w:rsid w:val="00CD2952"/>
    <w:rsid w:val="00CE558D"/>
    <w:rsid w:val="00D02F8F"/>
    <w:rsid w:val="00D04955"/>
    <w:rsid w:val="00D14439"/>
    <w:rsid w:val="00D471E8"/>
    <w:rsid w:val="00D575B1"/>
    <w:rsid w:val="00D63F36"/>
    <w:rsid w:val="00D66062"/>
    <w:rsid w:val="00D705D8"/>
    <w:rsid w:val="00D714EF"/>
    <w:rsid w:val="00D82B07"/>
    <w:rsid w:val="00D87A31"/>
    <w:rsid w:val="00DC3295"/>
    <w:rsid w:val="00DE4BE5"/>
    <w:rsid w:val="00E4388C"/>
    <w:rsid w:val="00E440DF"/>
    <w:rsid w:val="00E56045"/>
    <w:rsid w:val="00E82270"/>
    <w:rsid w:val="00E90669"/>
    <w:rsid w:val="00ED68D4"/>
    <w:rsid w:val="00F04399"/>
    <w:rsid w:val="00F27E59"/>
    <w:rsid w:val="00F41145"/>
    <w:rsid w:val="00F62BCA"/>
    <w:rsid w:val="00F63BB2"/>
    <w:rsid w:val="00FB31B7"/>
    <w:rsid w:val="00FC5D9D"/>
    <w:rsid w:val="00FD2CFE"/>
    <w:rsid w:val="00FE4E3F"/>
    <w:rsid w:val="03790BAD"/>
    <w:rsid w:val="11F33019"/>
    <w:rsid w:val="13374C8F"/>
    <w:rsid w:val="1A0F503E"/>
    <w:rsid w:val="1B4C4122"/>
    <w:rsid w:val="1F09387E"/>
    <w:rsid w:val="1F5736CF"/>
    <w:rsid w:val="20EF7097"/>
    <w:rsid w:val="25790E5B"/>
    <w:rsid w:val="25A8248F"/>
    <w:rsid w:val="25F86E78"/>
    <w:rsid w:val="2BF64172"/>
    <w:rsid w:val="32715B68"/>
    <w:rsid w:val="33700939"/>
    <w:rsid w:val="369B5099"/>
    <w:rsid w:val="3DED7E48"/>
    <w:rsid w:val="3F610BB8"/>
    <w:rsid w:val="46C57F68"/>
    <w:rsid w:val="479B74B7"/>
    <w:rsid w:val="47B74D74"/>
    <w:rsid w:val="484A7335"/>
    <w:rsid w:val="49AA2C5F"/>
    <w:rsid w:val="538A011C"/>
    <w:rsid w:val="56341832"/>
    <w:rsid w:val="59EE7A27"/>
    <w:rsid w:val="5D795F6D"/>
    <w:rsid w:val="5DA026D7"/>
    <w:rsid w:val="5FBF452A"/>
    <w:rsid w:val="600B4642"/>
    <w:rsid w:val="638821B8"/>
    <w:rsid w:val="69750303"/>
    <w:rsid w:val="69E41219"/>
    <w:rsid w:val="6DB43AD4"/>
    <w:rsid w:val="705B1CE9"/>
    <w:rsid w:val="74982505"/>
    <w:rsid w:val="76277FE4"/>
    <w:rsid w:val="785E261C"/>
    <w:rsid w:val="797834B1"/>
    <w:rsid w:val="7DDE3D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outlineLvl w:val="0"/>
    </w:pPr>
    <w:rPr>
      <w:sz w:val="32"/>
      <w:szCs w:val="20"/>
    </w:rPr>
  </w:style>
  <w:style w:type="paragraph" w:styleId="3">
    <w:name w:val="heading 2"/>
    <w:basedOn w:val="1"/>
    <w:next w:val="1"/>
    <w:autoRedefine/>
    <w:qFormat/>
    <w:uiPriority w:val="0"/>
    <w:pPr>
      <w:keepNext/>
      <w:ind w:firstLine="2875"/>
      <w:outlineLvl w:val="1"/>
    </w:pPr>
    <w:rPr>
      <w:rFonts w:eastAsia="楷体_GB2312"/>
      <w:sz w:val="28"/>
    </w:rPr>
  </w:style>
  <w:style w:type="paragraph" w:styleId="4">
    <w:name w:val="heading 3"/>
    <w:basedOn w:val="1"/>
    <w:next w:val="1"/>
    <w:autoRedefine/>
    <w:qFormat/>
    <w:uiPriority w:val="0"/>
    <w:pPr>
      <w:keepNext/>
      <w:jc w:val="center"/>
      <w:outlineLvl w:val="2"/>
    </w:pPr>
    <w:rPr>
      <w:rFonts w:eastAsia="楷体_GB2312"/>
      <w:b/>
      <w:bCs/>
      <w:sz w:val="32"/>
    </w:rPr>
  </w:style>
  <w:style w:type="character" w:default="1" w:styleId="18">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pPr>
      <w:spacing w:after="200"/>
    </w:pPr>
    <w:rPr>
      <w:i/>
      <w:iCs/>
      <w:color w:val="1F497D" w:themeColor="text2"/>
      <w:sz w:val="18"/>
      <w:szCs w:val="18"/>
      <w14:textFill>
        <w14:solidFill>
          <w14:schemeClr w14:val="tx2"/>
        </w14:solidFill>
      </w14:textFill>
    </w:rPr>
  </w:style>
  <w:style w:type="paragraph" w:styleId="6">
    <w:name w:val="annotation text"/>
    <w:basedOn w:val="1"/>
    <w:link w:val="22"/>
    <w:autoRedefine/>
    <w:qFormat/>
    <w:uiPriority w:val="0"/>
    <w:pPr>
      <w:jc w:val="left"/>
    </w:pPr>
  </w:style>
  <w:style w:type="paragraph" w:styleId="7">
    <w:name w:val="Body Text"/>
    <w:basedOn w:val="1"/>
    <w:autoRedefine/>
    <w:qFormat/>
    <w:uiPriority w:val="0"/>
    <w:pPr>
      <w:spacing w:before="240"/>
      <w:jc w:val="center"/>
    </w:pPr>
    <w:rPr>
      <w:sz w:val="32"/>
      <w:szCs w:val="20"/>
    </w:rPr>
  </w:style>
  <w:style w:type="paragraph" w:styleId="8">
    <w:name w:val="Body Text Indent"/>
    <w:basedOn w:val="1"/>
    <w:autoRedefine/>
    <w:qFormat/>
    <w:uiPriority w:val="0"/>
    <w:pPr>
      <w:spacing w:before="240"/>
      <w:ind w:firstLine="484" w:firstLineChars="205"/>
    </w:pPr>
    <w:rPr>
      <w:rFonts w:ascii="宋体" w:hAnsi="宋体"/>
      <w:sz w:val="24"/>
    </w:rPr>
  </w:style>
  <w:style w:type="paragraph" w:styleId="9">
    <w:name w:val="Balloon Text"/>
    <w:basedOn w:val="1"/>
    <w:link w:val="24"/>
    <w:autoRedefine/>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2">
    <w:name w:val="Body Text 2"/>
    <w:basedOn w:val="1"/>
    <w:autoRedefine/>
    <w:qFormat/>
    <w:uiPriority w:val="0"/>
    <w:pPr>
      <w:jc w:val="center"/>
    </w:pPr>
    <w:rPr>
      <w:rFonts w:eastAsia="黑体"/>
      <w:sz w:val="44"/>
    </w:rPr>
  </w:style>
  <w:style w:type="paragraph" w:styleId="13">
    <w:name w:val="Normal (Web)"/>
    <w:basedOn w:val="1"/>
    <w:autoRedefine/>
    <w:qFormat/>
    <w:uiPriority w:val="0"/>
    <w:pPr>
      <w:widowControl/>
      <w:spacing w:before="100" w:beforeAutospacing="1" w:after="100" w:afterAutospacing="1"/>
      <w:jc w:val="left"/>
    </w:pPr>
    <w:rPr>
      <w:rFonts w:ascii="宋体" w:hAnsi="宋体" w:cs="宋体"/>
      <w:kern w:val="0"/>
      <w:sz w:val="24"/>
    </w:rPr>
  </w:style>
  <w:style w:type="paragraph" w:styleId="14">
    <w:name w:val="Title"/>
    <w:basedOn w:val="1"/>
    <w:autoRedefine/>
    <w:qFormat/>
    <w:uiPriority w:val="0"/>
    <w:pPr>
      <w:ind w:firstLine="630" w:firstLineChars="200"/>
      <w:jc w:val="center"/>
    </w:pPr>
    <w:rPr>
      <w:b/>
      <w:bCs/>
      <w:sz w:val="32"/>
    </w:rPr>
  </w:style>
  <w:style w:type="paragraph" w:styleId="15">
    <w:name w:val="annotation subject"/>
    <w:basedOn w:val="6"/>
    <w:next w:val="6"/>
    <w:link w:val="23"/>
    <w:autoRedefine/>
    <w:qFormat/>
    <w:uiPriority w:val="0"/>
    <w:rPr>
      <w:b/>
      <w:bCs/>
    </w:rPr>
  </w:style>
  <w:style w:type="table" w:styleId="17">
    <w:name w:val="Table Grid"/>
    <w:basedOn w:val="16"/>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autoRedefine/>
    <w:qFormat/>
    <w:uiPriority w:val="0"/>
  </w:style>
  <w:style w:type="character" w:styleId="20">
    <w:name w:val="Hyperlink"/>
    <w:autoRedefine/>
    <w:qFormat/>
    <w:uiPriority w:val="0"/>
    <w:rPr>
      <w:color w:val="0000FF"/>
      <w:u w:val="single"/>
    </w:rPr>
  </w:style>
  <w:style w:type="character" w:styleId="21">
    <w:name w:val="annotation reference"/>
    <w:autoRedefine/>
    <w:qFormat/>
    <w:uiPriority w:val="0"/>
    <w:rPr>
      <w:sz w:val="21"/>
      <w:szCs w:val="21"/>
    </w:rPr>
  </w:style>
  <w:style w:type="character" w:customStyle="1" w:styleId="22">
    <w:name w:val="批注文字 字符"/>
    <w:link w:val="6"/>
    <w:autoRedefine/>
    <w:qFormat/>
    <w:uiPriority w:val="0"/>
    <w:rPr>
      <w:kern w:val="2"/>
      <w:sz w:val="21"/>
      <w:szCs w:val="24"/>
    </w:rPr>
  </w:style>
  <w:style w:type="character" w:customStyle="1" w:styleId="23">
    <w:name w:val="批注主题 字符"/>
    <w:link w:val="15"/>
    <w:autoRedefine/>
    <w:qFormat/>
    <w:uiPriority w:val="0"/>
    <w:rPr>
      <w:b/>
      <w:bCs/>
      <w:kern w:val="2"/>
      <w:sz w:val="21"/>
      <w:szCs w:val="24"/>
    </w:rPr>
  </w:style>
  <w:style w:type="character" w:customStyle="1" w:styleId="24">
    <w:name w:val="批注框文本 字符"/>
    <w:link w:val="9"/>
    <w:autoRedefine/>
    <w:qFormat/>
    <w:uiPriority w:val="0"/>
    <w:rPr>
      <w:kern w:val="2"/>
      <w:sz w:val="18"/>
      <w:szCs w:val="18"/>
    </w:rPr>
  </w:style>
  <w:style w:type="character" w:customStyle="1" w:styleId="25">
    <w:name w:val="apple-converted-space"/>
    <w:autoRedefine/>
    <w:qFormat/>
    <w:uiPriority w:val="0"/>
  </w:style>
  <w:style w:type="paragraph" w:customStyle="1" w:styleId="26">
    <w:name w:val="11首头"/>
    <w:basedOn w:val="1"/>
    <w:autoRedefine/>
    <w:qFormat/>
    <w:uiPriority w:val="0"/>
    <w:pPr>
      <w:spacing w:line="300" w:lineRule="auto"/>
    </w:pPr>
    <w:rPr>
      <w:rFonts w:ascii="黑体" w:eastAsia="黑体"/>
      <w:b/>
      <w:sz w:val="24"/>
    </w:rPr>
  </w:style>
  <w:style w:type="paragraph" w:customStyle="1" w:styleId="27">
    <w:name w:val="Revision1"/>
    <w:autoRedefine/>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1108</Words>
  <Characters>1338</Characters>
  <Lines>334</Lines>
  <Paragraphs>174</Paragraphs>
  <TotalTime>6</TotalTime>
  <ScaleCrop>false</ScaleCrop>
  <LinksUpToDate>false</LinksUpToDate>
  <CharactersWithSpaces>1852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2026-04-15T09:02:00Z</dcterms:created>
  <dc:creator>86189</dc:creator>
  <cp:lastModifiedBy>李思瑜(2023013013)</cp:lastModifiedBy>
  <cp:lastPrinted>2017-03-13T03:36:00Z</cp:lastPrinted>
  <dcterms:modified xsi:type="dcterms:W3CDTF">2026-06-14T19:09:55Z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04BBE41733574D51A34EF04AE14D6B5F_13</vt:lpwstr>
  </property>
  <property fmtid="{D5CDD505-2E9C-101B-9397-08002B2CF9AE}" pid="4" name="KSOTemplateDocerSaveRecord">
    <vt:lpwstr>eyJoZGlkIjoiMzEwNTM5NzYwMDRjMzkwZTVkZjY2ODkwMGIxNGU0OTUiLCJ1c2VySWQiOiIxNTUyMTIwNTk4In0=</vt:lpwstr>
  </property>
</Properties>
</file>