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DDF8A" w14:textId="3FBC92A0" w:rsidR="005F761D" w:rsidRDefault="00000000">
      <w:pPr>
        <w:pStyle w:val="2"/>
      </w:pPr>
      <w:r>
        <w:t>Data Collection Procedures</w:t>
      </w:r>
    </w:p>
    <w:p w14:paraId="40C58E45" w14:textId="77777777" w:rsidR="005F761D" w:rsidRDefault="00000000">
      <w:pPr>
        <w:spacing w:after="200" w:line="480" w:lineRule="auto"/>
        <w:jc w:val="both"/>
      </w:pPr>
      <w:r>
        <w:rPr>
          <w:rFonts w:eastAsia="Times New Roman"/>
        </w:rPr>
        <w:t>Data were collected across three waves at approximately six-month intervals: baseline (T1, March 2024), first follow-up (T2, September 2024), and second follow-up (T3, March 2025). The six-month interval was deliberately chosen to detect meaningful developmental changes in adolescents' psychological states while minimizing recall bias and participant attrition. Each assessment session was administered within a single standard class period. Completion time varied by educational stage: most junior high school students (Grades 7–9) completed the questionnaire in approximately 15 to 20 minutes, while students in lower grade levels required 20 to 30 minutes, reflecting developmental differences in reading speed and self-reflection capacity.</w:t>
      </w:r>
    </w:p>
    <w:p w14:paraId="75EFBE70" w14:textId="77777777" w:rsidR="005F761D" w:rsidRDefault="00000000">
      <w:pPr>
        <w:spacing w:after="200" w:line="480" w:lineRule="auto"/>
        <w:jc w:val="both"/>
      </w:pPr>
      <w:r>
        <w:rPr>
          <w:rFonts w:eastAsia="Times New Roman"/>
        </w:rPr>
        <w:t xml:space="preserve">All assessments were conducted in classroom settings during regular school hours. Questionnaires were administered electronically via </w:t>
      </w:r>
      <w:proofErr w:type="spellStart"/>
      <w:r>
        <w:rPr>
          <w:rFonts w:eastAsia="Times New Roman"/>
        </w:rPr>
        <w:t>Wenjuanxing</w:t>
      </w:r>
      <w:proofErr w:type="spellEnd"/>
      <w:r>
        <w:rPr>
          <w:rFonts w:eastAsia="Times New Roman"/>
        </w:rPr>
        <w:t xml:space="preserve"> (www.wjx.cn), a widely used online survey platform in China. Students accessed the survey through a dedicated QR code or link on personal or school-provided devices. The platform was configured to require responses to all items prior to submission, such that incomplete questionnaires could not be submitted; this system-level constraint eliminated the need for on-site monitoring of missing data. To ensure the objectivity and validity of responses, questionnaires were administered by trained members of the research team — comprising postgraduate researchers and school-based psychological counselors with substantial prior experience in educational assessment — in the absence of classroom teachers, thereby reducing potential response biases associated with teacher supervision. Participants were explicitly informed of the anonymous nature of the survey and their unconditional right to withdraw at any time without consequence; those who chose not to participate were permitted to submit blank questionnaires to preserve anonymity.</w:t>
      </w:r>
    </w:p>
    <w:p w14:paraId="0969B292" w14:textId="77777777" w:rsidR="005F761D" w:rsidRDefault="00000000">
      <w:pPr>
        <w:spacing w:after="200" w:line="480" w:lineRule="auto"/>
        <w:jc w:val="both"/>
      </w:pPr>
      <w:r>
        <w:rPr>
          <w:rFonts w:eastAsia="Times New Roman"/>
        </w:rPr>
        <w:t xml:space="preserve">Prior to enrollment, written informed consent was obtained from all participants' parents or legal </w:t>
      </w:r>
      <w:r>
        <w:rPr>
          <w:rFonts w:eastAsia="Times New Roman"/>
        </w:rPr>
        <w:lastRenderedPageBreak/>
        <w:t xml:space="preserve">guardians, followed by verbal assent from the adolescents themselves. Only students who provided dual consent were included in the study, in accordance with ethical standards for psychological research involving minors. The study protocol was approved by the Medical Research Ethics Committee of the Affiliated </w:t>
      </w:r>
      <w:proofErr w:type="spellStart"/>
      <w:r>
        <w:rPr>
          <w:rFonts w:eastAsia="Times New Roman"/>
        </w:rPr>
        <w:t>Kangning</w:t>
      </w:r>
      <w:proofErr w:type="spellEnd"/>
      <w:r>
        <w:rPr>
          <w:rFonts w:eastAsia="Times New Roman"/>
        </w:rPr>
        <w:t xml:space="preserve"> Hospital of Wenzhou Medical University (approval No. KNLL-20211011002) and conducted in accordance with the Declaration of Helsinki.</w:t>
      </w:r>
    </w:p>
    <w:p w14:paraId="36F44376" w14:textId="77777777" w:rsidR="005F761D" w:rsidRDefault="00000000">
      <w:pPr>
        <w:spacing w:after="200" w:line="480" w:lineRule="auto"/>
        <w:jc w:val="both"/>
      </w:pPr>
      <w:r>
        <w:rPr>
          <w:rFonts w:eastAsia="Times New Roman"/>
        </w:rPr>
        <w:t>To ensure longitudinal data linkage while protecting participant confidentiality, each student was assigned a unique identification code at enrollment. This code was used exclusively for matching responses across the three waves and was not disclosed to teachers, parents, peers, or any school personnel. The same set of measurement instruments and scoring criteria was applied consistently across all three time points to ensure longitudinal comparability.</w:t>
      </w:r>
    </w:p>
    <w:p w14:paraId="53CCD717" w14:textId="77777777" w:rsidR="005F761D" w:rsidRDefault="00000000">
      <w:pPr>
        <w:spacing w:after="200" w:line="480" w:lineRule="auto"/>
        <w:jc w:val="both"/>
      </w:pPr>
      <w:r>
        <w:rPr>
          <w:rFonts w:eastAsia="Times New Roman"/>
        </w:rPr>
        <w:t>Each assessment session covered 16 independent variables drawn from three domains: individual biological characteristics (e.g., age, gender, grade, ethnicity), psychobehavioral factors (e.g., depression, anxiety, insomnia, internet addiction, high sensitivity), and social environmental factors (e.g., family atmosphere, parental migration status, parental education level). Bullying victimization, assessed using the Olweus Bullying Victim Questionnaire (OBVQ), served as the outcome variable across all waves.</w:t>
      </w:r>
    </w:p>
    <w:p w14:paraId="7464634C" w14:textId="77777777" w:rsidR="005F761D" w:rsidRDefault="00000000">
      <w:pPr>
        <w:spacing w:after="200" w:line="480" w:lineRule="auto"/>
        <w:jc w:val="both"/>
      </w:pPr>
      <w:r>
        <w:rPr>
          <w:rFonts w:eastAsia="Times New Roman"/>
        </w:rPr>
        <w:t xml:space="preserve">Of the 2,408 adolescents enrolled at baseline, sample retention rates were 99.34% at T1, 98.21% at T2, and 95.85% at T3, yielding a final analytic sample of 2,302 students who completed all three waves. Attrition was primarily attributable to three non-systematic sources: graduation and school departure among Grade 9 students at the end of the compulsory education stage, school transfers to institutions outside the study catchment area, and temporary absenteeism on assessment days due to illness or personal leave. These patterns are consistent with routine transitions in the Chinese </w:t>
      </w:r>
      <w:r>
        <w:rPr>
          <w:rFonts w:eastAsia="Times New Roman"/>
        </w:rPr>
        <w:lastRenderedPageBreak/>
        <w:t>junior high school context and are unlikely to have introduced systematic bias into the longitudinal dataset.</w:t>
      </w:r>
    </w:p>
    <w:p w14:paraId="4A424190" w14:textId="77777777" w:rsidR="005F761D" w:rsidRDefault="00000000">
      <w:pPr>
        <w:spacing w:after="200" w:line="480" w:lineRule="auto"/>
        <w:jc w:val="both"/>
      </w:pPr>
      <w:r>
        <w:rPr>
          <w:rFonts w:eastAsia="Times New Roman"/>
        </w:rPr>
        <w:t>Following each data collection session, mental health education presentations were delivered to participating students. Schools subsequently received aggregated, de-identified findings to support ongoing adolescent well-being initiatives and inform the application of predictive screening tools.</w:t>
      </w:r>
    </w:p>
    <w:sectPr w:rsidR="005F761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C6299"/>
    <w:multiLevelType w:val="hybridMultilevel"/>
    <w:tmpl w:val="57CA36B4"/>
    <w:lvl w:ilvl="0" w:tplc="2784429A">
      <w:start w:val="1"/>
      <w:numFmt w:val="bullet"/>
      <w:lvlText w:val="●"/>
      <w:lvlJc w:val="left"/>
      <w:pPr>
        <w:ind w:left="720" w:hanging="360"/>
      </w:pPr>
    </w:lvl>
    <w:lvl w:ilvl="1" w:tplc="7F0C615E">
      <w:start w:val="1"/>
      <w:numFmt w:val="bullet"/>
      <w:lvlText w:val="○"/>
      <w:lvlJc w:val="left"/>
      <w:pPr>
        <w:ind w:left="1440" w:hanging="360"/>
      </w:pPr>
    </w:lvl>
    <w:lvl w:ilvl="2" w:tplc="BCEC1AC8">
      <w:start w:val="1"/>
      <w:numFmt w:val="bullet"/>
      <w:lvlText w:val="■"/>
      <w:lvlJc w:val="left"/>
      <w:pPr>
        <w:ind w:left="2160" w:hanging="360"/>
      </w:pPr>
    </w:lvl>
    <w:lvl w:ilvl="3" w:tplc="C1A69266">
      <w:start w:val="1"/>
      <w:numFmt w:val="bullet"/>
      <w:lvlText w:val="●"/>
      <w:lvlJc w:val="left"/>
      <w:pPr>
        <w:ind w:left="2880" w:hanging="360"/>
      </w:pPr>
    </w:lvl>
    <w:lvl w:ilvl="4" w:tplc="BBD677B8">
      <w:start w:val="1"/>
      <w:numFmt w:val="bullet"/>
      <w:lvlText w:val="○"/>
      <w:lvlJc w:val="left"/>
      <w:pPr>
        <w:ind w:left="3600" w:hanging="360"/>
      </w:pPr>
    </w:lvl>
    <w:lvl w:ilvl="5" w:tplc="506A606C">
      <w:start w:val="1"/>
      <w:numFmt w:val="bullet"/>
      <w:lvlText w:val="■"/>
      <w:lvlJc w:val="left"/>
      <w:pPr>
        <w:ind w:left="4320" w:hanging="360"/>
      </w:pPr>
    </w:lvl>
    <w:lvl w:ilvl="6" w:tplc="671AB404">
      <w:start w:val="1"/>
      <w:numFmt w:val="bullet"/>
      <w:lvlText w:val="●"/>
      <w:lvlJc w:val="left"/>
      <w:pPr>
        <w:ind w:left="5040" w:hanging="360"/>
      </w:pPr>
    </w:lvl>
    <w:lvl w:ilvl="7" w:tplc="6A443C5E">
      <w:start w:val="1"/>
      <w:numFmt w:val="bullet"/>
      <w:lvlText w:val="●"/>
      <w:lvlJc w:val="left"/>
      <w:pPr>
        <w:ind w:left="5760" w:hanging="360"/>
      </w:pPr>
    </w:lvl>
    <w:lvl w:ilvl="8" w:tplc="754A1C8A">
      <w:start w:val="1"/>
      <w:numFmt w:val="bullet"/>
      <w:lvlText w:val="●"/>
      <w:lvlJc w:val="left"/>
      <w:pPr>
        <w:ind w:left="6480" w:hanging="360"/>
      </w:pPr>
    </w:lvl>
  </w:abstractNum>
  <w:num w:numId="1" w16cid:durableId="10967070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61D"/>
    <w:rsid w:val="005F761D"/>
    <w:rsid w:val="00CC72D8"/>
    <w:rsid w:val="00DC39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CFF4F"/>
  <w15:docId w15:val="{BA78340B-086C-445F-B8F6-2CCAC3E18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spacing w:before="200" w:after="120"/>
      <w:outlineLvl w:val="1"/>
    </w:pPr>
    <w:rPr>
      <w:rFonts w:eastAsia="Times New Roman"/>
      <w:b/>
      <w:bCs/>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668</Words>
  <Characters>3808</Characters>
  <Application>Microsoft Office Word</Application>
  <DocSecurity>0</DocSecurity>
  <Lines>31</Lines>
  <Paragraphs>8</Paragraphs>
  <ScaleCrop>false</ScaleCrop>
  <Company/>
  <LinksUpToDate>false</LinksUpToDate>
  <CharactersWithSpaces>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旻奂 邬</cp:lastModifiedBy>
  <cp:revision>2</cp:revision>
  <dcterms:created xsi:type="dcterms:W3CDTF">2026-04-12T09:32:00Z</dcterms:created>
  <dcterms:modified xsi:type="dcterms:W3CDTF">2026-04-12T09:36:00Z</dcterms:modified>
</cp:coreProperties>
</file>