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280"/>
        <w:jc w:val="center"/>
      </w:pPr>
      <w:r>
        <w:rPr>
          <w:rFonts w:ascii="Times New Roman" w:hAnsi="Times New Roman" w:eastAsia="黑体"/>
          <w:b/>
          <w:color w:val="000000"/>
          <w:sz w:val="36"/>
        </w:rPr>
        <w:t>Transformer架构演进及高效序列建模方法综述</w:t>
      </w:r>
    </w:p>
    <w:p>
      <w:pPr>
        <w:widowControl/>
        <w:spacing w:line="360" w:lineRule="auto" w:before="0" w:after="0"/>
        <w:ind w:firstLine="480"/>
        <w:jc w:val="both"/>
      </w:pPr>
      <w:r>
        <w:rPr>
          <w:rFonts w:ascii="Times New Roman" w:hAnsi="Times New Roman" w:eastAsia="宋体"/>
          <w:b/>
          <w:color w:val="000000"/>
          <w:sz w:val="24"/>
        </w:rPr>
        <w:t>摘要：</w:t>
      </w:r>
      <w:r>
        <w:rPr>
          <w:rFonts w:ascii="Times New Roman" w:hAnsi="Times New Roman" w:eastAsia="宋体"/>
          <w:color w:val="000000"/>
          <w:sz w:val="24"/>
        </w:rPr>
        <w:t>Transformer以自注意力实现序列位置之间的直接交互，已由机器翻译架构发展为语言、视觉和多模态基础模型的共同骨架。本文基于10篇英文论文，梳理自注意力及编码器、解码器结构，比较GPT-4、Mixtral、DeepSeek-V3与DeepSeek-R1在规模扩展、混合专家和推理训练方面的路径，总结Swin Transformer V2的视觉适配，并分析FlashAttention-2、Ring Attention及结构化状态空间对偶对长序列Transformer效率的启示。研究表明，Transformer的内容寻址能力仍是其核心优势，未来改进将更多体现为注意力稀疏化、缓存压缩、软硬件协同和训练推理一体化，而不是简单转向另一类研究方向。</w:t>
      </w:r>
    </w:p>
    <w:p>
      <w:pPr>
        <w:widowControl/>
        <w:spacing w:after="200"/>
      </w:pPr>
      <w:r>
        <w:rPr>
          <w:rFonts w:ascii="Times New Roman" w:hAnsi="Times New Roman" w:eastAsia="黑体"/>
          <w:b/>
          <w:color w:val="000000"/>
          <w:sz w:val="24"/>
        </w:rPr>
        <w:t>关键词：</w:t>
      </w:r>
      <w:r>
        <w:rPr>
          <w:rFonts w:ascii="Times New Roman" w:hAnsi="Times New Roman" w:eastAsia="宋体"/>
          <w:color w:val="000000"/>
          <w:sz w:val="24"/>
        </w:rPr>
        <w:t>Transformer；自注意力；混合专家；长序列；高效计算</w:t>
      </w:r>
    </w:p>
    <w:p>
      <w:pPr>
        <w:keepNext/>
        <w:widowControl/>
        <w:spacing w:before="200" w:after="80"/>
        <w:jc w:val="left"/>
      </w:pPr>
      <w:r>
        <w:rPr>
          <w:rFonts w:ascii="Times New Roman" w:hAnsi="Times New Roman" w:eastAsia="黑体"/>
          <w:b/>
          <w:color w:val="000000"/>
          <w:sz w:val="28"/>
        </w:rPr>
        <w:t>1 引言</w:t>
      </w:r>
    </w:p>
    <w:p>
      <w:pPr>
        <w:widowControl/>
        <w:spacing w:line="360" w:lineRule="auto" w:before="0" w:after="0"/>
        <w:ind w:firstLine="480"/>
        <w:jc w:val="both"/>
      </w:pPr>
      <w:r>
        <w:rPr>
          <w:rFonts w:ascii="Times New Roman" w:hAnsi="Times New Roman" w:eastAsia="宋体"/>
          <w:color w:val="000000"/>
          <w:sz w:val="24"/>
        </w:rPr>
        <w:t>序列建模是自然语言处理、计算机视觉以及多模态智能中的基础问题。早期循环神经网络依靠隐状态逐步传递信息，能够表示时间关系，但训练过程必须沿序列顺序展开，长距离信息还容易在反复递归中衰减。卷积结构可以提高并行度，却需要叠加多层才能建立相距较远位置之间的联系。2017年提出的Transformer以自注意力代替循环和卷积，使任意两个位置可以在一层中直接交互，同时让训练阶段对全部位置进行并行计算[1]。这一变化不仅改善了机器翻译，也形成了后来预训练语言模型、视觉基础模型和大语言模型的共同骨架。</w:t>
      </w:r>
    </w:p>
    <w:p>
      <w:pPr>
        <w:widowControl/>
        <w:spacing w:line="360" w:lineRule="auto" w:before="0" w:after="0"/>
        <w:ind w:firstLine="480"/>
        <w:jc w:val="both"/>
      </w:pPr>
      <w:r>
        <w:rPr>
          <w:rFonts w:ascii="Times New Roman" w:hAnsi="Times New Roman" w:eastAsia="宋体"/>
          <w:color w:val="000000"/>
          <w:sz w:val="24"/>
        </w:rPr>
        <w:t>近年的研究重点已经从“注意力能否替代循环”转向三个更具体的问题：一是如何选择适合任务的编码器、解码器或编码器—解码器结构；二是如何在扩大参数规模的同时控制训练与推理成本；三是如何突破标准注意力随序列长度二次增长的计算和存储瓶颈。现存文献覆盖了Transformer基础结构、语言理解与生成、混合专家模型、视觉Transformer、精确注意力加速、跨设备长上下文，以及RetNet、Mamba和Mamba-2等新型序列模型，能够形成一条较完整的技术演进脉络。</w:t>
      </w:r>
    </w:p>
    <w:p>
      <w:pPr>
        <w:widowControl/>
        <w:spacing w:line="360" w:lineRule="auto" w:before="0" w:after="0"/>
        <w:ind w:firstLine="480"/>
        <w:jc w:val="both"/>
      </w:pPr>
      <w:r>
        <w:rPr>
          <w:rFonts w:ascii="Times New Roman" w:hAnsi="Times New Roman" w:eastAsia="宋体"/>
          <w:color w:val="000000"/>
          <w:sz w:val="24"/>
        </w:rPr>
        <w:t>本文按照“基础机制—架构分化—规模扩展—效率优化—替代范式”的逻辑，对10篇英文论文进行归纳。综述既关注每类算法的基本原理，也比较其适用任务、优势和局限，并在文末讨论未来架构可能采取的混合化方向。这里所说的Transformer演进，不只是层数和参数量的增加，还包括注意力表示、前馈网络、训练目标、并行方式和推理状态管理等多个层面的共同变化。</w:t>
      </w:r>
    </w:p>
    <w:p>
      <w:pPr>
        <w:keepNext/>
        <w:widowControl/>
        <w:spacing w:before="200" w:after="80"/>
        <w:jc w:val="left"/>
      </w:pPr>
      <w:r>
        <w:rPr>
          <w:rFonts w:ascii="Times New Roman" w:hAnsi="Times New Roman" w:eastAsia="黑体"/>
          <w:b/>
          <w:color w:val="000000"/>
          <w:sz w:val="28"/>
        </w:rPr>
        <w:t>2 Transformer的基础机制与架构分类</w:t>
      </w:r>
    </w:p>
    <w:p>
      <w:pPr>
        <w:keepNext/>
        <w:widowControl/>
        <w:spacing w:before="120" w:after="80"/>
        <w:jc w:val="left"/>
      </w:pPr>
      <w:r>
        <w:rPr>
          <w:rFonts w:ascii="Times New Roman" w:hAnsi="Times New Roman" w:eastAsia="黑体"/>
          <w:b/>
          <w:color w:val="000000"/>
          <w:sz w:val="24"/>
        </w:rPr>
        <w:t>2.1 自注意力与多头表示</w:t>
      </w:r>
    </w:p>
    <w:p>
      <w:pPr>
        <w:widowControl/>
        <w:spacing w:line="360" w:lineRule="auto" w:before="0" w:after="0"/>
        <w:ind w:firstLine="480"/>
        <w:jc w:val="both"/>
      </w:pPr>
      <w:r>
        <w:rPr>
          <w:rFonts w:ascii="Times New Roman" w:hAnsi="Times New Roman" w:eastAsia="宋体"/>
          <w:color w:val="000000"/>
          <w:sz w:val="24"/>
        </w:rPr>
        <w:t>标准Transformer先把输入序列映射为查询、键和值三组向量。某一位置的查询与所有位置的键计算相似度，经缩放和Softmax归一化后得到权重，再对值向量加权求和。缩放项用于减轻高维点积过大导致的Softmax饱和。与循环网络把历史信息压缩到单一隐状态不同，自注意力为当前位置建立到整个上下文的直接信息通路，因此更容易学习指代、句法依赖和跨句联系。其代价是需要显式比较位置对，长度为n的序列通常产生n×n的注意力分数。</w:t>
      </w:r>
    </w:p>
    <w:p>
      <w:pPr>
        <w:widowControl/>
        <w:spacing w:line="360" w:lineRule="auto" w:before="0" w:after="0"/>
        <w:ind w:firstLine="480"/>
        <w:jc w:val="both"/>
      </w:pPr>
      <w:r>
        <w:rPr>
          <w:rFonts w:ascii="Times New Roman" w:hAnsi="Times New Roman" w:eastAsia="宋体"/>
          <w:color w:val="000000"/>
          <w:sz w:val="24"/>
        </w:rPr>
        <w:t>多头注意力把查询、键和值投影到多个子空间，各个头可以学习不同类型的关系，随后将结果拼接并线性变换。Transformer层还包含逐位置前馈网络、残差连接和层归一化。由于注意力本身不区分输入顺序，模型必须加入位置编码。原始论文采用正弦与余弦函数构造位置表示，使模型不依赖额外的位置参数。编码器中的每个位置可双向访问上下文；解码器则用因果掩码屏蔽未来位置，保证自回归生成时不会看到尚未产生的符号[1]。</w:t>
      </w:r>
    </w:p>
    <w:p>
      <w:pPr>
        <w:widowControl/>
        <w:spacing w:line="360" w:lineRule="auto" w:before="0" w:after="0"/>
        <w:ind w:firstLine="480"/>
        <w:jc w:val="both"/>
      </w:pPr>
      <w:r>
        <w:rPr>
          <w:rFonts w:ascii="Times New Roman" w:hAnsi="Times New Roman" w:eastAsia="宋体"/>
          <w:color w:val="000000"/>
          <w:sz w:val="24"/>
        </w:rPr>
        <w:t>从计算图看，Transformer的优势来自训练并行和短依赖路径。一个批次内不同位置可以同时计算，而两个远距离符号之间只需经过一次注意力交互。缺点同样来自全局连接：序列越长，中间分数矩阵越大；模型还可能把容量消耗在与任务无关的位置关系上。因而后续工作一部分改进注意力和位置建模，一部分优化计算实现，另一部分则尝试用具有固定状态的递归结构替代全局注意力。</w:t>
      </w:r>
    </w:p>
    <w:p>
      <w:pPr>
        <w:keepNext/>
        <w:widowControl/>
        <w:spacing w:before="120" w:after="80"/>
        <w:jc w:val="left"/>
      </w:pPr>
      <w:r>
        <w:rPr>
          <w:rFonts w:ascii="Times New Roman" w:hAnsi="Times New Roman" w:eastAsia="黑体"/>
          <w:b/>
          <w:color w:val="000000"/>
          <w:sz w:val="24"/>
        </w:rPr>
        <w:t>2.2 三类主体架构</w:t>
      </w:r>
    </w:p>
    <w:p>
      <w:pPr>
        <w:widowControl/>
        <w:spacing w:line="360" w:lineRule="auto" w:before="0" w:after="0"/>
        <w:ind w:firstLine="480"/>
        <w:jc w:val="both"/>
      </w:pPr>
      <w:r>
        <w:rPr>
          <w:rFonts w:ascii="Times New Roman" w:hAnsi="Times New Roman" w:eastAsia="宋体"/>
          <w:color w:val="000000"/>
          <w:sz w:val="24"/>
        </w:rPr>
        <w:t>按照信息可见范围和任务目标，Transformer可分为仅编码器、仅解码器和编码器—解码器三类。仅编码器结构允许每个位置同时利用左右文，适合分类、检索和序列标注等理解任务。DeBERTaV3属于这一类，它沿用DeBERTa的解耦注意力，将内容和相对位置分开表示，并把掩码语言建模替换为替换词检测。训练时由生成器产生似是而非的替换词，判别器判断每个位置是否被替换，因此几乎所有位置都能贡献训练信号。论文指出，直接共享生成器和判别器的词嵌入会使两种目标把嵌入推向相反方向，于是提出梯度解耦嵌入共享：前向仍共享表示，反向则阻断判别器损失对共享嵌入的不利干扰[2]。其优点是样本利用率高、语言理解性能强；不足是双向可见性不适合直接逐词生成，并且预训练流程包含生成器和判别器，训练组织更复杂。</w:t>
      </w:r>
    </w:p>
    <w:p>
      <w:pPr>
        <w:widowControl/>
        <w:spacing w:line="360" w:lineRule="auto" w:before="0" w:after="0"/>
        <w:ind w:firstLine="480"/>
        <w:jc w:val="both"/>
      </w:pPr>
      <w:r>
        <w:rPr>
          <w:rFonts w:ascii="Times New Roman" w:hAnsi="Times New Roman" w:eastAsia="宋体"/>
          <w:color w:val="000000"/>
          <w:sz w:val="24"/>
        </w:rPr>
        <w:t>仅解码器结构使用因果自注意力，以“根据已有词预测下一个词”为统一目标。训练目标与开放式生成一致，提示、回答和推理过程都可以表示为同一序列，因此容易通过扩大数据和模型规模获得通用能力。GPT-4技术报告将模型描述为基于Transformer的下一词预测模型，并通过后训练改善事实性和行为对齐；它还展示了图像与文本输入到文本输出的多模态能力[3]。这类结构的优点是任务接口统一、生成能力强、适合上下文学习；缺点是逐词解码难以完全并行，推理需要保存不断增长的键值缓存，而且论文明确承认仍会出现幻觉、上下文受限和不能从使用经验中持续学习等问题。</w:t>
      </w:r>
    </w:p>
    <w:p>
      <w:pPr>
        <w:widowControl/>
        <w:spacing w:line="360" w:lineRule="auto" w:before="0" w:after="0"/>
        <w:ind w:firstLine="480"/>
        <w:jc w:val="both"/>
      </w:pPr>
      <w:r>
        <w:rPr>
          <w:rFonts w:ascii="Times New Roman" w:hAnsi="Times New Roman" w:eastAsia="宋体"/>
          <w:color w:val="000000"/>
          <w:sz w:val="24"/>
        </w:rPr>
        <w:t>编码器—解码器结构先用编码器获取输入的双向表示，再由解码器通过交叉注意力读取输入并自回归输出。它适合机器翻译、摘要等输入和输出边界清晰的条件生成任务，输入可以一次编码并在生成过程中反复使用。其优点是表示学习与生成建模职责清楚，对输入条件的控制较直接；不足是系统由两个堆栈构成，参数和推理链路更复杂，在通用对话场景中不如仅解码器容易统一数据格式。三类结构不是简单的替代关系，而是由信息可见性、训练目标和任务接口共同决定的选择。</w:t>
      </w:r>
    </w:p>
    <w:p>
      <w:pPr>
        <w:keepNext/>
        <w:widowControl/>
        <w:spacing w:before="120" w:after="80"/>
        <w:jc w:val="left"/>
      </w:pPr>
      <w:r>
        <w:rPr>
          <w:rFonts w:ascii="Times New Roman" w:hAnsi="Times New Roman" w:eastAsia="黑体"/>
          <w:b/>
          <w:color w:val="000000"/>
          <w:sz w:val="24"/>
        </w:rPr>
        <w:t>2.3 分类比较</w:t>
      </w:r>
    </w:p>
    <w:tbl>
      <w:tblPr>
        <w:tblW w:type="auto" w:w="0"/>
        <w:jc w:val="center"/>
        <w:tblLayout w:type="fixed"/>
        <w:tblLook w:firstColumn="1" w:firstRow="1" w:lastColumn="0" w:lastRow="0" w:noHBand="0" w:noVBand="1" w:val="04A0"/>
      </w:tblPr>
      <w:tblGrid>
        <w:gridCol w:w="1660"/>
        <w:gridCol w:w="1660"/>
        <w:gridCol w:w="1660"/>
        <w:gridCol w:w="1660"/>
        <w:gridCol w:w="1660"/>
      </w:tblGrid>
      <w:tr>
        <w:tc>
          <w:tcPr>
            <w:tcW w:type="dxa" w:w="1276"/>
            <w:shd w:fill="D9EAF7"/>
            <w:vAlign w:val="center"/>
            <w:tcMar>
              <w:top w:w="100" w:type="dxa"/>
              <w:start w:w="120" w:type="dxa"/>
              <w:bottom w:w="100" w:type="dxa"/>
              <w:end w:w="120" w:type="dxa"/>
            </w:tcMar>
          </w:tcPr>
          <w:p>
            <w:pPr>
              <w:jc w:val="center"/>
            </w:pPr>
            <w:r>
              <w:rPr>
                <w:rFonts w:ascii="Times New Roman" w:hAnsi="Times New Roman" w:eastAsia="黑体"/>
                <w:b/>
                <w:color w:val="000000"/>
                <w:sz w:val="21"/>
              </w:rPr>
              <w:t>类别</w:t>
            </w:r>
          </w:p>
        </w:tc>
        <w:tc>
          <w:tcPr>
            <w:tcW w:type="dxa" w:w="1276"/>
            <w:shd w:fill="D9EAF7"/>
            <w:vAlign w:val="center"/>
            <w:tcMar>
              <w:top w:w="100" w:type="dxa"/>
              <w:start w:w="120" w:type="dxa"/>
              <w:bottom w:w="100" w:type="dxa"/>
              <w:end w:w="120" w:type="dxa"/>
            </w:tcMar>
          </w:tcPr>
          <w:p>
            <w:pPr>
              <w:jc w:val="center"/>
            </w:pPr>
            <w:r>
              <w:rPr>
                <w:rFonts w:ascii="Times New Roman" w:hAnsi="Times New Roman" w:eastAsia="黑体"/>
                <w:b/>
                <w:color w:val="000000"/>
                <w:sz w:val="21"/>
              </w:rPr>
              <w:t>信息方式</w:t>
            </w:r>
          </w:p>
        </w:tc>
        <w:tc>
          <w:tcPr>
            <w:tcW w:type="dxa" w:w="1928"/>
            <w:shd w:fill="D9EAF7"/>
            <w:vAlign w:val="center"/>
            <w:tcMar>
              <w:top w:w="100" w:type="dxa"/>
              <w:start w:w="120" w:type="dxa"/>
              <w:bottom w:w="100" w:type="dxa"/>
              <w:end w:w="120" w:type="dxa"/>
            </w:tcMar>
          </w:tcPr>
          <w:p>
            <w:pPr>
              <w:jc w:val="center"/>
            </w:pPr>
            <w:r>
              <w:rPr>
                <w:rFonts w:ascii="Times New Roman" w:hAnsi="Times New Roman" w:eastAsia="黑体"/>
                <w:b/>
                <w:color w:val="000000"/>
                <w:sz w:val="21"/>
              </w:rPr>
              <w:t>代表工作</w:t>
            </w:r>
          </w:p>
        </w:tc>
        <w:tc>
          <w:tcPr>
            <w:tcW w:type="dxa" w:w="2041"/>
            <w:shd w:fill="D9EAF7"/>
            <w:vAlign w:val="center"/>
            <w:tcMar>
              <w:top w:w="100" w:type="dxa"/>
              <w:start w:w="120" w:type="dxa"/>
              <w:bottom w:w="100" w:type="dxa"/>
              <w:end w:w="120" w:type="dxa"/>
            </w:tcMar>
          </w:tcPr>
          <w:p>
            <w:pPr>
              <w:jc w:val="center"/>
            </w:pPr>
            <w:r>
              <w:rPr>
                <w:rFonts w:ascii="Times New Roman" w:hAnsi="Times New Roman" w:eastAsia="黑体"/>
                <w:b/>
                <w:color w:val="000000"/>
                <w:sz w:val="21"/>
              </w:rPr>
              <w:t>主要优势</w:t>
            </w:r>
          </w:p>
        </w:tc>
        <w:tc>
          <w:tcPr>
            <w:tcW w:type="dxa" w:w="1928"/>
            <w:shd w:fill="D9EAF7"/>
            <w:vAlign w:val="center"/>
            <w:tcMar>
              <w:top w:w="100" w:type="dxa"/>
              <w:start w:w="120" w:type="dxa"/>
              <w:bottom w:w="100" w:type="dxa"/>
              <w:end w:w="120" w:type="dxa"/>
            </w:tcMar>
          </w:tcPr>
          <w:p>
            <w:pPr>
              <w:jc w:val="center"/>
            </w:pPr>
            <w:r>
              <w:rPr>
                <w:rFonts w:ascii="Times New Roman" w:hAnsi="Times New Roman" w:eastAsia="黑体"/>
                <w:b/>
                <w:color w:val="000000"/>
                <w:sz w:val="21"/>
              </w:rPr>
              <w:t>主要局限</w:t>
            </w:r>
          </w:p>
        </w:tc>
      </w:tr>
      <w:tr>
        <w:tc>
          <w:tcPr>
            <w:tcW w:type="dxa" w:w="1276"/>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仅编码器</w:t>
            </w:r>
          </w:p>
        </w:tc>
        <w:tc>
          <w:tcPr>
            <w:tcW w:type="dxa" w:w="1276"/>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双向注意力</w:t>
            </w:r>
          </w:p>
        </w:tc>
        <w:tc>
          <w:tcPr>
            <w:tcW w:type="dxa" w:w="1928"/>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DeBERTaV3</w:t>
            </w:r>
          </w:p>
        </w:tc>
        <w:tc>
          <w:tcPr>
            <w:tcW w:type="dxa" w:w="2041"/>
            <w:vAlign w:val="center"/>
            <w:tcMar>
              <w:top w:w="100" w:type="dxa"/>
              <w:start w:w="120" w:type="dxa"/>
              <w:bottom w:w="100" w:type="dxa"/>
              <w:end w:w="120" w:type="dxa"/>
            </w:tcMar>
          </w:tcPr>
          <w:p>
            <w:pPr>
              <w:spacing w:line="276" w:lineRule="auto"/>
              <w:jc w:val="left"/>
            </w:pPr>
            <w:r>
              <w:rPr>
                <w:rFonts w:ascii="Times New Roman" w:hAnsi="Times New Roman" w:eastAsia="宋体"/>
                <w:color w:val="000000"/>
                <w:sz w:val="20"/>
              </w:rPr>
              <w:t>上下文理解充分，适合分类与标注</w:t>
            </w:r>
          </w:p>
        </w:tc>
        <w:tc>
          <w:tcPr>
            <w:tcW w:type="dxa" w:w="1928"/>
            <w:vAlign w:val="center"/>
            <w:tcMar>
              <w:top w:w="100" w:type="dxa"/>
              <w:start w:w="120" w:type="dxa"/>
              <w:bottom w:w="100" w:type="dxa"/>
              <w:end w:w="120" w:type="dxa"/>
            </w:tcMar>
          </w:tcPr>
          <w:p>
            <w:pPr>
              <w:spacing w:line="276" w:lineRule="auto"/>
              <w:jc w:val="left"/>
            </w:pPr>
            <w:r>
              <w:rPr>
                <w:rFonts w:ascii="Times New Roman" w:hAnsi="Times New Roman" w:eastAsia="宋体"/>
                <w:color w:val="000000"/>
                <w:sz w:val="20"/>
              </w:rPr>
              <w:t>不能直接进行开放式自回归生成</w:t>
            </w:r>
          </w:p>
        </w:tc>
      </w:tr>
      <w:tr>
        <w:tc>
          <w:tcPr>
            <w:tcW w:type="dxa" w:w="1276"/>
            <w:vAlign w:val="center"/>
            <w:tcMar>
              <w:top w:w="100" w:type="dxa"/>
              <w:start w:w="120" w:type="dxa"/>
              <w:bottom w:w="100" w:type="dxa"/>
              <w:end w:w="120" w:type="dxa"/>
            </w:tcMar>
            <w:shd w:fill="F5F8FA"/>
          </w:tcPr>
          <w:p>
            <w:pPr>
              <w:spacing w:line="276" w:lineRule="auto"/>
              <w:jc w:val="center"/>
            </w:pPr>
            <w:r>
              <w:rPr>
                <w:rFonts w:ascii="Times New Roman" w:hAnsi="Times New Roman" w:eastAsia="宋体"/>
                <w:color w:val="000000"/>
                <w:sz w:val="20"/>
              </w:rPr>
              <w:t>仅解码器</w:t>
            </w:r>
          </w:p>
        </w:tc>
        <w:tc>
          <w:tcPr>
            <w:tcW w:type="dxa" w:w="1276"/>
            <w:vAlign w:val="center"/>
            <w:tcMar>
              <w:top w:w="100" w:type="dxa"/>
              <w:start w:w="120" w:type="dxa"/>
              <w:bottom w:w="100" w:type="dxa"/>
              <w:end w:w="120" w:type="dxa"/>
            </w:tcMar>
            <w:shd w:fill="F5F8FA"/>
          </w:tcPr>
          <w:p>
            <w:pPr>
              <w:spacing w:line="276" w:lineRule="auto"/>
              <w:jc w:val="center"/>
            </w:pPr>
            <w:r>
              <w:rPr>
                <w:rFonts w:ascii="Times New Roman" w:hAnsi="Times New Roman" w:eastAsia="宋体"/>
                <w:color w:val="000000"/>
                <w:sz w:val="20"/>
              </w:rPr>
              <w:t>因果注意力</w:t>
            </w:r>
          </w:p>
        </w:tc>
        <w:tc>
          <w:tcPr>
            <w:tcW w:type="dxa" w:w="1928"/>
            <w:vAlign w:val="center"/>
            <w:tcMar>
              <w:top w:w="100" w:type="dxa"/>
              <w:start w:w="120" w:type="dxa"/>
              <w:bottom w:w="100" w:type="dxa"/>
              <w:end w:w="120" w:type="dxa"/>
            </w:tcMar>
            <w:shd w:fill="F5F8FA"/>
          </w:tcPr>
          <w:p>
            <w:pPr>
              <w:spacing w:line="276" w:lineRule="auto"/>
              <w:jc w:val="center"/>
            </w:pPr>
            <w:r>
              <w:rPr>
                <w:rFonts w:ascii="Times New Roman" w:hAnsi="Times New Roman" w:eastAsia="宋体"/>
                <w:color w:val="000000"/>
                <w:sz w:val="20"/>
              </w:rPr>
              <w:t>GPT-4、Mixtral、DeepSeek系列</w:t>
            </w:r>
          </w:p>
        </w:tc>
        <w:tc>
          <w:tcPr>
            <w:tcW w:type="dxa" w:w="2041"/>
            <w:vAlign w:val="center"/>
            <w:tcMar>
              <w:top w:w="100" w:type="dxa"/>
              <w:start w:w="120" w:type="dxa"/>
              <w:bottom w:w="100" w:type="dxa"/>
              <w:end w:w="120" w:type="dxa"/>
            </w:tcMar>
            <w:shd w:fill="F5F8FA"/>
          </w:tcPr>
          <w:p>
            <w:pPr>
              <w:spacing w:line="276" w:lineRule="auto"/>
              <w:jc w:val="left"/>
            </w:pPr>
            <w:r>
              <w:rPr>
                <w:rFonts w:ascii="Times New Roman" w:hAnsi="Times New Roman" w:eastAsia="宋体"/>
                <w:color w:val="000000"/>
                <w:sz w:val="20"/>
              </w:rPr>
              <w:t>训练目标统一，生成与上下文学习能力强</w:t>
            </w:r>
          </w:p>
        </w:tc>
        <w:tc>
          <w:tcPr>
            <w:tcW w:type="dxa" w:w="1928"/>
            <w:vAlign w:val="center"/>
            <w:tcMar>
              <w:top w:w="100" w:type="dxa"/>
              <w:start w:w="120" w:type="dxa"/>
              <w:bottom w:w="100" w:type="dxa"/>
              <w:end w:w="120" w:type="dxa"/>
            </w:tcMar>
            <w:shd w:fill="F5F8FA"/>
          </w:tcPr>
          <w:p>
            <w:pPr>
              <w:spacing w:line="276" w:lineRule="auto"/>
              <w:jc w:val="left"/>
            </w:pPr>
            <w:r>
              <w:rPr>
                <w:rFonts w:ascii="Times New Roman" w:hAnsi="Times New Roman" w:eastAsia="宋体"/>
                <w:color w:val="000000"/>
                <w:sz w:val="20"/>
              </w:rPr>
              <w:t>逐词生成，键值缓存随上下文增长</w:t>
            </w:r>
          </w:p>
        </w:tc>
      </w:tr>
      <w:tr>
        <w:tc>
          <w:tcPr>
            <w:tcW w:type="dxa" w:w="1276"/>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编码器—解码器</w:t>
            </w:r>
          </w:p>
        </w:tc>
        <w:tc>
          <w:tcPr>
            <w:tcW w:type="dxa" w:w="1276"/>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双向编码加因果解码</w:t>
            </w:r>
          </w:p>
        </w:tc>
        <w:tc>
          <w:tcPr>
            <w:tcW w:type="dxa" w:w="1928"/>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原始Transformer</w:t>
            </w:r>
          </w:p>
        </w:tc>
        <w:tc>
          <w:tcPr>
            <w:tcW w:type="dxa" w:w="2041"/>
            <w:vAlign w:val="center"/>
            <w:tcMar>
              <w:top w:w="100" w:type="dxa"/>
              <w:start w:w="120" w:type="dxa"/>
              <w:bottom w:w="100" w:type="dxa"/>
              <w:end w:w="120" w:type="dxa"/>
            </w:tcMar>
          </w:tcPr>
          <w:p>
            <w:pPr>
              <w:spacing w:line="276" w:lineRule="auto"/>
              <w:jc w:val="left"/>
            </w:pPr>
            <w:r>
              <w:rPr>
                <w:rFonts w:ascii="Times New Roman" w:hAnsi="Times New Roman" w:eastAsia="宋体"/>
                <w:color w:val="000000"/>
                <w:sz w:val="20"/>
              </w:rPr>
              <w:t>条件生成边界清晰，输入表示可复用</w:t>
            </w:r>
          </w:p>
        </w:tc>
        <w:tc>
          <w:tcPr>
            <w:tcW w:type="dxa" w:w="1928"/>
            <w:vAlign w:val="center"/>
            <w:tcMar>
              <w:top w:w="100" w:type="dxa"/>
              <w:start w:w="120" w:type="dxa"/>
              <w:bottom w:w="100" w:type="dxa"/>
              <w:end w:w="120" w:type="dxa"/>
            </w:tcMar>
          </w:tcPr>
          <w:p>
            <w:pPr>
              <w:spacing w:line="276" w:lineRule="auto"/>
              <w:jc w:val="left"/>
            </w:pPr>
            <w:r>
              <w:rPr>
                <w:rFonts w:ascii="Times New Roman" w:hAnsi="Times New Roman" w:eastAsia="宋体"/>
                <w:color w:val="000000"/>
                <w:sz w:val="20"/>
              </w:rPr>
              <w:t>双堆栈带来更复杂的参数和推理链路</w:t>
            </w:r>
          </w:p>
        </w:tc>
      </w:tr>
      <w:tr>
        <w:tc>
          <w:tcPr>
            <w:tcW w:type="dxa" w:w="1276"/>
            <w:vAlign w:val="center"/>
            <w:tcMar>
              <w:top w:w="100" w:type="dxa"/>
              <w:start w:w="120" w:type="dxa"/>
              <w:bottom w:w="100" w:type="dxa"/>
              <w:end w:w="120" w:type="dxa"/>
            </w:tcMar>
            <w:shd w:fill="F5F8FA"/>
          </w:tcPr>
          <w:p>
            <w:pPr>
              <w:spacing w:line="276" w:lineRule="auto"/>
              <w:jc w:val="center"/>
            </w:pPr>
            <w:r>
              <w:rPr>
                <w:rFonts w:ascii="Times New Roman" w:hAnsi="Times New Roman" w:eastAsia="宋体"/>
                <w:color w:val="000000"/>
                <w:sz w:val="20"/>
              </w:rPr>
              <w:t>视觉层级结构</w:t>
            </w:r>
          </w:p>
        </w:tc>
        <w:tc>
          <w:tcPr>
            <w:tcW w:type="dxa" w:w="1276"/>
            <w:vAlign w:val="center"/>
            <w:tcMar>
              <w:top w:w="100" w:type="dxa"/>
              <w:start w:w="120" w:type="dxa"/>
              <w:bottom w:w="100" w:type="dxa"/>
              <w:end w:w="120" w:type="dxa"/>
            </w:tcMar>
            <w:shd w:fill="F5F8FA"/>
          </w:tcPr>
          <w:p>
            <w:pPr>
              <w:spacing w:line="276" w:lineRule="auto"/>
              <w:jc w:val="center"/>
            </w:pPr>
            <w:r>
              <w:rPr>
                <w:rFonts w:ascii="Times New Roman" w:hAnsi="Times New Roman" w:eastAsia="宋体"/>
                <w:color w:val="000000"/>
                <w:sz w:val="20"/>
              </w:rPr>
              <w:t>窗口与移位窗口</w:t>
            </w:r>
          </w:p>
        </w:tc>
        <w:tc>
          <w:tcPr>
            <w:tcW w:type="dxa" w:w="1928"/>
            <w:vAlign w:val="center"/>
            <w:tcMar>
              <w:top w:w="100" w:type="dxa"/>
              <w:start w:w="120" w:type="dxa"/>
              <w:bottom w:w="100" w:type="dxa"/>
              <w:end w:w="120" w:type="dxa"/>
            </w:tcMar>
            <w:shd w:fill="F5F8FA"/>
          </w:tcPr>
          <w:p>
            <w:pPr>
              <w:spacing w:line="276" w:lineRule="auto"/>
              <w:jc w:val="center"/>
            </w:pPr>
            <w:r>
              <w:rPr>
                <w:rFonts w:ascii="Times New Roman" w:hAnsi="Times New Roman" w:eastAsia="宋体"/>
                <w:color w:val="000000"/>
                <w:sz w:val="20"/>
              </w:rPr>
              <w:t>Swin Transformer V2</w:t>
            </w:r>
          </w:p>
        </w:tc>
        <w:tc>
          <w:tcPr>
            <w:tcW w:type="dxa" w:w="2041"/>
            <w:vAlign w:val="center"/>
            <w:tcMar>
              <w:top w:w="100" w:type="dxa"/>
              <w:start w:w="120" w:type="dxa"/>
              <w:bottom w:w="100" w:type="dxa"/>
              <w:end w:w="120" w:type="dxa"/>
            </w:tcMar>
            <w:shd w:fill="F5F8FA"/>
          </w:tcPr>
          <w:p>
            <w:pPr>
              <w:spacing w:line="276" w:lineRule="auto"/>
              <w:jc w:val="left"/>
            </w:pPr>
            <w:r>
              <w:rPr>
                <w:rFonts w:ascii="Times New Roman" w:hAnsi="Times New Roman" w:eastAsia="宋体"/>
                <w:color w:val="000000"/>
                <w:sz w:val="20"/>
              </w:rPr>
              <w:t>利用图像局部性，适合高分辨率多尺度任务</w:t>
            </w:r>
          </w:p>
        </w:tc>
        <w:tc>
          <w:tcPr>
            <w:tcW w:type="dxa" w:w="1928"/>
            <w:vAlign w:val="center"/>
            <w:tcMar>
              <w:top w:w="100" w:type="dxa"/>
              <w:start w:w="120" w:type="dxa"/>
              <w:bottom w:w="100" w:type="dxa"/>
              <w:end w:w="120" w:type="dxa"/>
            </w:tcMar>
            <w:shd w:fill="F5F8FA"/>
          </w:tcPr>
          <w:p>
            <w:pPr>
              <w:spacing w:line="276" w:lineRule="auto"/>
              <w:jc w:val="left"/>
            </w:pPr>
            <w:r>
              <w:rPr>
                <w:rFonts w:ascii="Times New Roman" w:hAnsi="Times New Roman" w:eastAsia="宋体"/>
                <w:color w:val="000000"/>
                <w:sz w:val="20"/>
              </w:rPr>
              <w:t>单层全局交互受限，训练成本仍较高</w:t>
            </w:r>
          </w:p>
        </w:tc>
      </w:tr>
      <w:tr>
        <w:tc>
          <w:tcPr>
            <w:tcW w:type="dxa" w:w="1276"/>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精确高效注意力</w:t>
            </w:r>
          </w:p>
        </w:tc>
        <w:tc>
          <w:tcPr>
            <w:tcW w:type="dxa" w:w="1276"/>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分块及跨设备计算</w:t>
            </w:r>
          </w:p>
        </w:tc>
        <w:tc>
          <w:tcPr>
            <w:tcW w:type="dxa" w:w="1928"/>
            <w:vAlign w:val="center"/>
            <w:tcMar>
              <w:top w:w="100" w:type="dxa"/>
              <w:start w:w="120" w:type="dxa"/>
              <w:bottom w:w="100" w:type="dxa"/>
              <w:end w:w="120" w:type="dxa"/>
            </w:tcMar>
          </w:tcPr>
          <w:p>
            <w:pPr>
              <w:spacing w:line="276" w:lineRule="auto"/>
              <w:jc w:val="center"/>
            </w:pPr>
            <w:r>
              <w:rPr>
                <w:rFonts w:ascii="Times New Roman" w:hAnsi="Times New Roman" w:eastAsia="宋体"/>
                <w:color w:val="000000"/>
                <w:sz w:val="20"/>
              </w:rPr>
              <w:t>FlashAttention-2、Ring Attention</w:t>
            </w:r>
          </w:p>
        </w:tc>
        <w:tc>
          <w:tcPr>
            <w:tcW w:type="dxa" w:w="2041"/>
            <w:vAlign w:val="center"/>
            <w:tcMar>
              <w:top w:w="100" w:type="dxa"/>
              <w:start w:w="120" w:type="dxa"/>
              <w:bottom w:w="100" w:type="dxa"/>
              <w:end w:w="120" w:type="dxa"/>
            </w:tcMar>
          </w:tcPr>
          <w:p>
            <w:pPr>
              <w:spacing w:line="276" w:lineRule="auto"/>
              <w:jc w:val="left"/>
            </w:pPr>
            <w:r>
              <w:rPr>
                <w:rFonts w:ascii="Times New Roman" w:hAnsi="Times New Roman" w:eastAsia="宋体"/>
                <w:color w:val="000000"/>
                <w:sz w:val="20"/>
              </w:rPr>
              <w:t>保持标准注意力结果并降低显存压力</w:t>
            </w:r>
          </w:p>
        </w:tc>
        <w:tc>
          <w:tcPr>
            <w:tcW w:type="dxa" w:w="1928"/>
            <w:vAlign w:val="center"/>
            <w:tcMar>
              <w:top w:w="100" w:type="dxa"/>
              <w:start w:w="120" w:type="dxa"/>
              <w:bottom w:w="100" w:type="dxa"/>
              <w:end w:w="120" w:type="dxa"/>
            </w:tcMar>
          </w:tcPr>
          <w:p>
            <w:pPr>
              <w:spacing w:line="276" w:lineRule="auto"/>
              <w:jc w:val="left"/>
            </w:pPr>
            <w:r>
              <w:rPr>
                <w:rFonts w:ascii="Times New Roman" w:hAnsi="Times New Roman" w:eastAsia="宋体"/>
                <w:color w:val="000000"/>
                <w:sz w:val="20"/>
              </w:rPr>
              <w:t>总算术量仍高，依赖硬件与通信条件</w:t>
            </w:r>
          </w:p>
        </w:tc>
      </w:tr>
    </w:tbl>
    <w:p>
      <w:pPr>
        <w:widowControl/>
        <w:spacing w:after="0"/>
      </w:pPr>
    </w:p>
    <w:p>
      <w:pPr>
        <w:keepNext/>
        <w:widowControl/>
        <w:spacing w:before="200" w:after="80"/>
        <w:jc w:val="left"/>
      </w:pPr>
      <w:r>
        <w:rPr>
          <w:rFonts w:ascii="Times New Roman" w:hAnsi="Times New Roman" w:eastAsia="黑体"/>
          <w:b/>
          <w:color w:val="000000"/>
          <w:sz w:val="28"/>
        </w:rPr>
        <w:t>3 大语言模型的规模扩展与稀疏化</w:t>
      </w:r>
    </w:p>
    <w:p>
      <w:pPr>
        <w:keepNext/>
        <w:widowControl/>
        <w:spacing w:before="120" w:after="80"/>
        <w:jc w:val="left"/>
      </w:pPr>
      <w:r>
        <w:rPr>
          <w:rFonts w:ascii="Times New Roman" w:hAnsi="Times New Roman" w:eastAsia="黑体"/>
          <w:b/>
          <w:color w:val="000000"/>
          <w:sz w:val="24"/>
        </w:rPr>
        <w:t>3.1 从规模规律到通用生成</w:t>
      </w:r>
    </w:p>
    <w:p>
      <w:pPr>
        <w:widowControl/>
        <w:spacing w:line="360" w:lineRule="auto" w:before="0" w:after="0"/>
        <w:ind w:firstLine="480"/>
        <w:jc w:val="both"/>
      </w:pPr>
      <w:r>
        <w:rPr>
          <w:rFonts w:ascii="Times New Roman" w:hAnsi="Times New Roman" w:eastAsia="宋体"/>
          <w:color w:val="000000"/>
          <w:sz w:val="24"/>
        </w:rPr>
        <w:t>仅解码器Transformer为大语言模型提供了稳定的扩展路径。GPT-4报告的一个重要信息不是具体参数规模，而是“可预测扩展”：研究者用计算量远小于最终训练的模型拟合损失随计算量变化的规律，并预测最终损失及部分能力指标[3]。这说明超大模型训练不能只依赖最终一次实验，而需要把小规模试验、数据质量、优化稳定性和安全评估纳入统一工程流程。与此同时，报告没有披露模型规模、硬件、训练数据组成等细节，这提醒我们在比较模型时，应区分公开可验证的实验结果与未公开的架构推测。</w:t>
      </w:r>
    </w:p>
    <w:p>
      <w:pPr>
        <w:widowControl/>
        <w:spacing w:line="360" w:lineRule="auto" w:before="0" w:after="0"/>
        <w:ind w:firstLine="480"/>
        <w:jc w:val="both"/>
      </w:pPr>
      <w:r>
        <w:rPr>
          <w:rFonts w:ascii="Times New Roman" w:hAnsi="Times New Roman" w:eastAsia="宋体"/>
          <w:color w:val="000000"/>
          <w:sz w:val="24"/>
        </w:rPr>
        <w:t>稠密Transformer的每个词元都会通过全部前馈网络参数。扩大参数量通常提高表示容量，却同步增加每次前向传播的计算成本。模型规模进入数百亿乃至更高量级后，参数容量、激活计算和设备通信之间的矛盾更加突出。混合专家方法由此成为重要路线：模型保留很大的总参数空间，但路由器只为每个词元选择少量专家参与计算，用条件计算实现“容量大而单次激活少”。</w:t>
      </w:r>
    </w:p>
    <w:p>
      <w:pPr>
        <w:keepNext/>
        <w:widowControl/>
        <w:spacing w:before="120" w:after="80"/>
        <w:jc w:val="left"/>
      </w:pPr>
      <w:r>
        <w:rPr>
          <w:rFonts w:ascii="Times New Roman" w:hAnsi="Times New Roman" w:eastAsia="黑体"/>
          <w:b/>
          <w:color w:val="000000"/>
          <w:sz w:val="24"/>
        </w:rPr>
        <w:t>3.2 Mixtral的稀疏混合专家机制</w:t>
      </w:r>
    </w:p>
    <w:p>
      <w:pPr>
        <w:widowControl/>
        <w:spacing w:line="360" w:lineRule="auto" w:before="0" w:after="0"/>
        <w:ind w:firstLine="480"/>
        <w:jc w:val="both"/>
      </w:pPr>
      <w:r>
        <w:rPr>
          <w:rFonts w:ascii="Times New Roman" w:hAnsi="Times New Roman" w:eastAsia="宋体"/>
          <w:color w:val="000000"/>
          <w:sz w:val="24"/>
        </w:rPr>
        <w:t>Mixtral 8×7B把每层原有的前馈网络替换为8个专家，对每个词元由路由网络选出2个专家，两个专家输出按路由权重相加[4]。注意力部分仍沿用解码器Transformer，因此稀疏化主要发生在占参数大头的前馈层。论文给出的模型具有约47B可访问参数，但每个词元推理时只使用约13B活跃参数，并以32K上下文训练。这样的设计表明，总参数量并不能直接代表每个词元的实际计算量，评价MoE模型时应同时报告总参数和激活参数。</w:t>
      </w:r>
    </w:p>
    <w:p>
      <w:pPr>
        <w:widowControl/>
        <w:spacing w:line="360" w:lineRule="auto" w:before="0" w:after="0"/>
        <w:ind w:firstLine="480"/>
        <w:jc w:val="both"/>
      </w:pPr>
      <w:r>
        <w:rPr>
          <w:rFonts w:ascii="Times New Roman" w:hAnsi="Times New Roman" w:eastAsia="宋体"/>
          <w:color w:val="000000"/>
          <w:sz w:val="24"/>
        </w:rPr>
        <w:t>Mixtral的优势是扩大知识容量而不过度增加单词元计算，并能让不同专家形成一定程度的分工；在低批量时可降低延迟，在高批量时可提高吞吐。其局限首先是路由带来负载不均：若许多词元集中到少数专家，部分设备会拥塞而其他设备空闲。其次，总参数仍需存储，跨设备专家并行还会产生通信开销。论文的分析也提示，专家未必按人类可解释的主题整齐分化，路由更多表现为复杂的句法或局部模式，因此不能简单把每个专家理解为一个独立知识领域。</w:t>
      </w:r>
    </w:p>
    <w:p>
      <w:pPr>
        <w:keepNext/>
        <w:widowControl/>
        <w:spacing w:before="120" w:after="80"/>
        <w:jc w:val="left"/>
      </w:pPr>
      <w:r>
        <w:rPr>
          <w:rFonts w:ascii="Times New Roman" w:hAnsi="Times New Roman" w:eastAsia="黑体"/>
          <w:b/>
          <w:color w:val="000000"/>
          <w:sz w:val="24"/>
        </w:rPr>
        <w:t>3.3 DeepSeek-V3的架构与工程协同</w:t>
      </w:r>
    </w:p>
    <w:p>
      <w:pPr>
        <w:widowControl/>
        <w:spacing w:line="360" w:lineRule="auto" w:before="0" w:after="0"/>
        <w:ind w:firstLine="480"/>
        <w:jc w:val="both"/>
      </w:pPr>
      <w:r>
        <w:rPr>
          <w:rFonts w:ascii="Times New Roman" w:hAnsi="Times New Roman" w:eastAsia="宋体"/>
          <w:color w:val="000000"/>
          <w:sz w:val="24"/>
        </w:rPr>
        <w:t>DeepSeek-V3进一步把MoE、注意力压缩和低精度训练结合起来。模型具有671B总参数，每个词元激活37B参数；其DeepSeekMoE采用更细粒度的专家划分，并保留共享专家吸收通用知识[5]。与依赖辅助损失强制均衡的做法不同，论文提出无辅助损失的负载均衡策略，通过动态调整各专家的路由偏置改变接收词元的机会，减少均衡目标对主语言建模目标的干扰。该方法仍需要监测设备级负载，并设置受限的序列级均衡项，所以“无辅助损失”并不意味着不再进行负载控制。</w:t>
      </w:r>
    </w:p>
    <w:p>
      <w:pPr>
        <w:widowControl/>
        <w:spacing w:line="360" w:lineRule="auto" w:before="0" w:after="0"/>
        <w:ind w:firstLine="480"/>
        <w:jc w:val="both"/>
      </w:pPr>
      <w:r>
        <w:rPr>
          <w:rFonts w:ascii="Times New Roman" w:hAnsi="Times New Roman" w:eastAsia="宋体"/>
          <w:color w:val="000000"/>
          <w:sz w:val="24"/>
        </w:rPr>
        <w:t>注意力方面，DeepSeek-V3采用多头潜在注意力。传统多头注意力在自回归推理中需要为每层保存历史键和值，缓存随层数、头数和上下文长度增长。多头潜在注意力先把键值信息压缩到低维潜变量，推理时缓存压缩表示，从而减少显存占用。训练方面，模型引入多词元预测目标，并使用FP8混合精度、DualPipe流水线及计算通信重叠等技术。论文报告预训练使用14.8万亿词元，完整训练消耗2.788M H800 GPU小时，且没有发生不可恢复的损失尖峰或回滚[5]。这些结果体现出，现代Transformer的改进往往不是单一模块胜负，而是模型结构、数值精度、通信拓扑和训练目标的协同设计。</w:t>
      </w:r>
    </w:p>
    <w:p>
      <w:pPr>
        <w:widowControl/>
        <w:spacing w:line="360" w:lineRule="auto" w:before="0" w:after="0"/>
        <w:ind w:firstLine="480"/>
        <w:jc w:val="both"/>
      </w:pPr>
      <w:r>
        <w:rPr>
          <w:rFonts w:ascii="Times New Roman" w:hAnsi="Times New Roman" w:eastAsia="宋体"/>
          <w:color w:val="000000"/>
          <w:sz w:val="24"/>
        </w:rPr>
        <w:t>DeepSeek-V3的优点是以较少活跃参数获得大容量，并降低长上下文推理的缓存压力；不足是系统实现复杂，MoE路由、低精度稳定性和跨节点通信都依赖精细工程。即使单词元计算量下降，数百亿活跃参数仍然不是普通设备能够轻易承载的规模。因此，MoE解决的是大规模集群中的条件计算效率，并不自动等同于端侧轻量化。</w:t>
      </w:r>
    </w:p>
    <w:p>
      <w:pPr>
        <w:keepNext/>
        <w:widowControl/>
        <w:spacing w:before="120" w:after="80"/>
        <w:jc w:val="left"/>
      </w:pPr>
      <w:r>
        <w:rPr>
          <w:rFonts w:ascii="Times New Roman" w:hAnsi="Times New Roman" w:eastAsia="黑体"/>
          <w:b/>
          <w:color w:val="000000"/>
          <w:sz w:val="24"/>
        </w:rPr>
        <w:t>3.4 强化学习与推理能力</w:t>
      </w:r>
    </w:p>
    <w:p>
      <w:pPr>
        <w:widowControl/>
        <w:spacing w:line="360" w:lineRule="auto" w:before="0" w:after="0"/>
        <w:ind w:firstLine="480"/>
        <w:jc w:val="both"/>
      </w:pPr>
      <w:r>
        <w:rPr>
          <w:rFonts w:ascii="Times New Roman" w:hAnsi="Times New Roman" w:eastAsia="宋体"/>
          <w:color w:val="000000"/>
          <w:sz w:val="24"/>
        </w:rPr>
        <w:t>DeepSeek-R1把研究重点从预训练容量转向推理行为的后训练。DeepSeek-R1-Zero不先进行监督微调，直接在基础模型上实施大规模强化学习，模型在可验证奖励驱动下逐渐形成更长的推理过程、自我检查和策略调整[6]。但纯强化学习版本出现可读性差和语言混杂等问题。完整的DeepSeek-R1先加入少量冷启动数据，再经历面向推理的强化学习、拒绝采样与监督微调，以及覆盖通用场景的后续强化学习，以兼顾推理成绩和输出质量。</w:t>
      </w:r>
    </w:p>
    <w:p>
      <w:pPr>
        <w:widowControl/>
        <w:spacing w:line="360" w:lineRule="auto" w:before="0" w:after="0"/>
        <w:ind w:firstLine="480"/>
        <w:jc w:val="both"/>
      </w:pPr>
      <w:r>
        <w:rPr>
          <w:rFonts w:ascii="Times New Roman" w:hAnsi="Times New Roman" w:eastAsia="宋体"/>
          <w:color w:val="000000"/>
          <w:sz w:val="24"/>
        </w:rPr>
        <w:t>该工作说明，Transformer的能力不仅取决于静态架构和预训练规模，还取决于如何分配推理时计算。模型可以通过生成更长的中间过程换取复杂问题上的准确率，训练目标则决定这种额外计算是否朝正确方向发展。它的优势是减少对大规模人工推理轨迹的依赖，并可通过蒸馏把长推理行为迁移到较小模型；局限是奖励设计容易诱发取巧，长思维链增加时延和词元成本，纯强化学习产生的行为也未必天然易读。论文还显示，直接对小模型强化学习的效果通常不如从强模型蒸馏，因此“训练中涌现”和“能力迁移”需要分别评价。</w:t>
      </w:r>
    </w:p>
    <w:p>
      <w:pPr>
        <w:keepNext/>
        <w:widowControl/>
        <w:spacing w:before="200" w:after="80"/>
        <w:jc w:val="left"/>
      </w:pPr>
      <w:r>
        <w:rPr>
          <w:rFonts w:ascii="Times New Roman" w:hAnsi="Times New Roman" w:eastAsia="黑体"/>
          <w:b/>
          <w:color w:val="000000"/>
          <w:sz w:val="28"/>
        </w:rPr>
        <w:t>4 Transformer向视觉任务的扩展</w:t>
      </w:r>
    </w:p>
    <w:p>
      <w:pPr>
        <w:keepNext/>
        <w:widowControl/>
        <w:spacing w:before="120" w:after="80"/>
        <w:jc w:val="left"/>
      </w:pPr>
      <w:r>
        <w:rPr>
          <w:rFonts w:ascii="Times New Roman" w:hAnsi="Times New Roman" w:eastAsia="黑体"/>
          <w:b/>
          <w:color w:val="000000"/>
          <w:sz w:val="24"/>
        </w:rPr>
        <w:t>4.1 从全局图像词元到层级窗口</w:t>
      </w:r>
    </w:p>
    <w:p>
      <w:pPr>
        <w:widowControl/>
        <w:spacing w:line="360" w:lineRule="auto" w:before="0" w:after="0"/>
        <w:ind w:firstLine="480"/>
        <w:jc w:val="both"/>
      </w:pPr>
      <w:r>
        <w:rPr>
          <w:rFonts w:ascii="Times New Roman" w:hAnsi="Times New Roman" w:eastAsia="宋体"/>
          <w:color w:val="000000"/>
          <w:sz w:val="24"/>
        </w:rPr>
        <w:t>图像可以被切分为若干图像块并映射成词元，从而使用Transformer编码器建模。然而图像分辨率升高时，图像块数量迅速增加，全局自注意力的二次复杂度会成为主要负担。Swin Transformer采用局部窗口限制注意力范围，并通过交替的移位窗口实现跨窗口连接；同时构造逐级降低空间分辨率、提高通道维度的层级特征，因而更适合检测和分割等需要多尺度表示的任务。</w:t>
      </w:r>
    </w:p>
    <w:p>
      <w:pPr>
        <w:widowControl/>
        <w:spacing w:line="360" w:lineRule="auto" w:before="0" w:after="0"/>
        <w:ind w:firstLine="480"/>
        <w:jc w:val="both"/>
      </w:pPr>
      <w:r>
        <w:rPr>
          <w:rFonts w:ascii="Times New Roman" w:hAnsi="Times New Roman" w:eastAsia="宋体"/>
          <w:color w:val="000000"/>
          <w:sz w:val="24"/>
        </w:rPr>
        <w:t>Swin Transformer V2关注模型容量和输入分辨率继续扩大后的稳定性与迁移问题。其一，残差后归一化在每个残差分支输出后增加归一化，缓解深层网络中激活幅度不断累积；其二，缩放余弦注意力用归一化后的查询和键计算余弦相似度，并通过可学习温度控制分布尖锐程度，减弱点积幅度随模型增大而不稳定的问题；其三，对数间隔连续位置偏置用连续函数表示相对位置，使低分辨率、较小窗口上预训练的模型更容易迁移到高分辨率和更大窗口[7]。论文据此训练到30亿参数并处理1536×1536图像。</w:t>
      </w:r>
    </w:p>
    <w:p>
      <w:pPr>
        <w:widowControl/>
        <w:spacing w:line="360" w:lineRule="auto" w:before="0" w:after="0"/>
        <w:ind w:firstLine="480"/>
        <w:jc w:val="both"/>
      </w:pPr>
      <w:r>
        <w:rPr>
          <w:rFonts w:ascii="Times New Roman" w:hAnsi="Times New Roman" w:eastAsia="宋体"/>
          <w:color w:val="000000"/>
          <w:sz w:val="24"/>
        </w:rPr>
        <w:t>视觉Transformer的优点是能统一分类、检测、分割和视频等任务中的特征建模，并借助预训练扩展容量；窗口结构还把计算从全局二次复杂度降低到与图像大小近似线性。局限是局部窗口会削弱单层的全局交互，需要层级结构和移位机制逐步传播信息；高分辨率预训练仍需大量数据和算力，位置偏置的跨分辨率迁移也要专门设计。Swin V2说明，把语言模型中的Transformer直接放大并不足够，不同模态的词元数量、空间局部性和尺度变化必须进入架构设计。</w:t>
      </w:r>
    </w:p>
    <w:p>
      <w:pPr>
        <w:keepNext/>
        <w:widowControl/>
        <w:spacing w:before="200" w:after="80"/>
        <w:jc w:val="left"/>
      </w:pPr>
      <w:r>
        <w:rPr>
          <w:rFonts w:ascii="Times New Roman" w:hAnsi="Times New Roman" w:eastAsia="黑体"/>
          <w:b/>
          <w:color w:val="000000"/>
          <w:sz w:val="28"/>
        </w:rPr>
        <w:t>5 长序列注意力的效率优化</w:t>
      </w:r>
    </w:p>
    <w:p>
      <w:pPr>
        <w:keepNext/>
        <w:widowControl/>
        <w:spacing w:before="120" w:after="80"/>
        <w:jc w:val="left"/>
      </w:pPr>
      <w:r>
        <w:rPr>
          <w:rFonts w:ascii="Times New Roman" w:hAnsi="Times New Roman" w:eastAsia="黑体"/>
          <w:b/>
          <w:color w:val="000000"/>
          <w:sz w:val="24"/>
        </w:rPr>
        <w:t>5.1 FlashAttention-2的IO感知精确计算</w:t>
      </w:r>
    </w:p>
    <w:p>
      <w:pPr>
        <w:widowControl/>
        <w:spacing w:line="360" w:lineRule="auto" w:before="0" w:after="0"/>
        <w:ind w:firstLine="480"/>
        <w:jc w:val="both"/>
      </w:pPr>
      <w:r>
        <w:rPr>
          <w:rFonts w:ascii="Times New Roman" w:hAnsi="Times New Roman" w:eastAsia="宋体"/>
          <w:color w:val="000000"/>
          <w:sz w:val="24"/>
        </w:rPr>
        <w:t>标准实现通常显式生成注意力分数矩阵，并在高带宽显存与片上存储之间反复读写。实际GPU中矩阵乘法速度很高，内存访问反而可能成为瓶颈。FlashAttention采用分块和重计算，在片上SRAM中完成局部得分、在线Softmax和结果累积，不把完整n×n矩阵写回显存。它并未近似注意力结果，而是通过改变计算顺序减少IO，因此能够作为通用内核替换标准实现。</w:t>
      </w:r>
    </w:p>
    <w:p>
      <w:pPr>
        <w:widowControl/>
        <w:spacing w:line="360" w:lineRule="auto" w:before="0" w:after="0"/>
        <w:ind w:firstLine="480"/>
        <w:jc w:val="both"/>
      </w:pPr>
      <w:r>
        <w:rPr>
          <w:rFonts w:ascii="Times New Roman" w:hAnsi="Times New Roman" w:eastAsia="宋体"/>
          <w:color w:val="000000"/>
          <w:sz w:val="24"/>
        </w:rPr>
        <w:t>FlashAttention-2进一步减少非矩阵乘法运算，在长序列、小批量场景下沿序列维度把同一个注意力头分配到多个线程块，并重新安排线程束之间的工作，减少共享内存通信[8]。论文报告相对第一代约2倍加速，在A100上达到理论峰值的50%至73%，端到端训练GPT式模型可达每张A100每秒225 TFLOPs。其优势是结果精确、显存由注意力矩阵的二次占用降为线性，并可直接受益于GPU矩阵单元；局限是算法效果与硬件、数据类型、头维度和内核实现紧密相关，它降低了存储与常数开销，却没有改变全局注意力的二次算术量。</w:t>
      </w:r>
    </w:p>
    <w:p>
      <w:pPr>
        <w:keepNext/>
        <w:widowControl/>
        <w:spacing w:before="120" w:after="80"/>
        <w:jc w:val="left"/>
      </w:pPr>
      <w:r>
        <w:rPr>
          <w:rFonts w:ascii="Times New Roman" w:hAnsi="Times New Roman" w:eastAsia="黑体"/>
          <w:b/>
          <w:color w:val="000000"/>
          <w:sz w:val="24"/>
        </w:rPr>
        <w:t>5.2 Ring Attention的跨设备序列并行</w:t>
      </w:r>
    </w:p>
    <w:p>
      <w:pPr>
        <w:widowControl/>
        <w:spacing w:line="360" w:lineRule="auto" w:before="0" w:after="0"/>
        <w:ind w:firstLine="480"/>
        <w:jc w:val="both"/>
      </w:pPr>
      <w:r>
        <w:rPr>
          <w:rFonts w:ascii="Times New Roman" w:hAnsi="Times New Roman" w:eastAsia="宋体"/>
          <w:color w:val="000000"/>
          <w:sz w:val="24"/>
        </w:rPr>
        <w:t>当单设备仍无法容纳长序列时，Ring Attention把序列维度切分到多个设备，每个设备保留自己的查询块，而键值块沿环形拓扑依次传递[9]。设备收到一个键值块后执行分块注意力，同时把块发送给下一设备；只要块计算时间不短于通信时间，通信便可被计算覆盖。完成一轮环形传递后，每个查询块都与全部键值块发生过精确交互，因此结果与完整注意力一致。该方法还把前馈网络按块计算，避免在单设备上保存整层的全部序列输出。</w:t>
      </w:r>
    </w:p>
    <w:p>
      <w:pPr>
        <w:widowControl/>
        <w:spacing w:line="360" w:lineRule="auto" w:before="0" w:after="0"/>
        <w:ind w:firstLine="480"/>
        <w:jc w:val="both"/>
      </w:pPr>
      <w:r>
        <w:rPr>
          <w:rFonts w:ascii="Times New Roman" w:hAnsi="Times New Roman" w:eastAsia="宋体"/>
          <w:color w:val="000000"/>
          <w:sz w:val="24"/>
        </w:rPr>
        <w:t>Ring Attention的突出优点是可让最大上下文长度随设备数量近似线性扩展，论文在语言建模和强化学习实验中展示了百万级乃至更长序列训练，并声称相对既有内存高效方法可处理超过500倍的序列长度[9]。其不足是需要多设备集群和稳定高速互连；环形步骤数量随设备数增加，块大小若选择不当，通信无法完全隐藏；它也没有减少全局注意力总算术量，只是重新分布内存与计算。因此，FlashAttention-2更像单设备内核优化，Ring Attention更像跨设备并行方案，两者解决的层级不同，可以组合使用。</w:t>
      </w:r>
    </w:p>
    <w:p>
      <w:pPr>
        <w:keepNext/>
        <w:widowControl/>
        <w:spacing w:before="120" w:after="80"/>
        <w:jc w:val="left"/>
      </w:pPr>
      <w:r>
        <w:rPr>
          <w:rFonts w:ascii="Times New Roman" w:hAnsi="Times New Roman" w:eastAsia="黑体"/>
          <w:b/>
          <w:color w:val="000000"/>
          <w:sz w:val="24"/>
        </w:rPr>
        <w:t>5.3 效率优化路线的边界</w:t>
      </w:r>
    </w:p>
    <w:p>
      <w:pPr>
        <w:widowControl/>
        <w:spacing w:line="360" w:lineRule="auto" w:before="0" w:after="0"/>
        <w:ind w:firstLine="480"/>
        <w:jc w:val="both"/>
      </w:pPr>
      <w:r>
        <w:rPr>
          <w:rFonts w:ascii="Times New Roman" w:hAnsi="Times New Roman" w:eastAsia="宋体"/>
          <w:color w:val="000000"/>
          <w:sz w:val="24"/>
        </w:rPr>
        <w:t>精确注意力优化保留了任意位置直接检索的能力，适合需要细粒度回溯的长文档、代码和视频任务。但上下文扩大不等于模型一定能有效利用全部信息：位置编码外推、训练数据中的长依赖比例、检索干扰和评测方式都会影响实际效果。硬件方法还可能把瓶颈从显存转移到计算或通信。由此可见，长上下文应同时回答三个问题：能否放入、能否算完、能否学会使用。前两者是FlashAttention-2和Ring Attention的重点，第三个问题还需要训练目标与数据设计配合。</w:t>
      </w:r>
    </w:p>
    <w:p>
      <w:pPr>
        <w:keepNext/>
        <w:widowControl/>
        <w:spacing w:before="200" w:after="80"/>
        <w:jc w:val="left"/>
      </w:pPr>
      <w:r>
        <w:rPr>
          <w:rFonts w:ascii="Times New Roman" w:hAnsi="Times New Roman" w:eastAsia="黑体"/>
          <w:b/>
          <w:color w:val="000000"/>
          <w:sz w:val="28"/>
        </w:rPr>
        <w:t>6 Transformer高效化的理论边界</w:t>
      </w:r>
    </w:p>
    <w:p>
      <w:pPr>
        <w:keepNext/>
        <w:spacing w:before="120" w:after="80"/>
        <w:jc w:val="left"/>
      </w:pPr>
      <w:r>
        <w:rPr>
          <w:rFonts w:ascii="Times New Roman" w:hAnsi="Times New Roman" w:eastAsia="黑体"/>
          <w:b/>
          <w:color w:val="000000"/>
          <w:sz w:val="24"/>
        </w:rPr>
        <w:t>6.1 结构化对偶对Transformer的启示</w:t>
      </w:r>
    </w:p>
    <w:p>
      <w:pPr>
        <w:widowControl/>
        <w:spacing w:line="360" w:lineRule="auto" w:before="0" w:after="0"/>
        <w:ind w:firstLine="480"/>
        <w:jc w:val="both"/>
      </w:pPr>
      <w:r>
        <w:rPr>
          <w:rFonts w:ascii="Times New Roman" w:hAnsi="Times New Roman" w:eastAsia="宋体"/>
          <w:color w:val="000000"/>
          <w:sz w:val="24"/>
        </w:rPr>
        <w:t>标准Softmax注意力通过显式比较位置对获得灵活的内容寻址能力，但其训练计算量随序列长度呈二次增长。Mamba-2论文提出的结构化状态空间对偶并不是对Transformer方向的替换，而是提供了一种分析高效注意力的数学视角：若注意力掩码具有特定结构，序列变换可以同时写成矩阵形式和递归形式，从而在并行训练与低成本生成之间切换[10]。该联系有助于判断哪些注意力变体能够真正获得线性递归，而不是只在名称上宣称“线性注意力”。</w:t>
      </w:r>
    </w:p>
    <w:p>
      <w:pPr>
        <w:widowControl/>
        <w:spacing w:line="360" w:lineRule="auto" w:before="0" w:after="0"/>
        <w:ind w:firstLine="480"/>
        <w:jc w:val="both"/>
      </w:pPr>
      <w:r>
        <w:rPr>
          <w:rFonts w:ascii="Times New Roman" w:hAnsi="Times New Roman" w:eastAsia="宋体"/>
          <w:color w:val="000000"/>
          <w:sz w:val="24"/>
        </w:rPr>
        <w:t>论文把一类状态空间变换对应到半可分矩阵，并进一步定义结构化掩码注意力。矩阵形式便于调用GPU矩阵乘法单元，递归形式则只传递压缩状态；分块算法可以在块内并行计算，在块间传递较小的状态。对Transformer研究而言，关键启示是注意力效率不只取决于是否计算完整分数矩阵，还取决于掩码结构能否分解、不同计算形式是否数学等价，以及实现能否利用现代硬件。</w:t>
      </w:r>
    </w:p>
    <w:p>
      <w:pPr>
        <w:widowControl/>
        <w:spacing w:line="360" w:lineRule="auto" w:before="0" w:after="0"/>
        <w:ind w:firstLine="480"/>
        <w:jc w:val="both"/>
      </w:pPr>
      <w:r>
        <w:rPr>
          <w:rFonts w:ascii="Times New Roman" w:hAnsi="Times New Roman" w:eastAsia="宋体"/>
          <w:color w:val="000000"/>
          <w:sz w:val="24"/>
        </w:rPr>
        <w:t>这种理论联系可以反向服务于Transformer：研究者可以设计具有可分解结构的因果注意力，在训练阶段使用并行矩阵表达，在长序列推理时切换为递归表达；也可以把少量标准全局注意力层与大量结构化注意力层组合，在关键位置保留精确检索能力。它与FlashAttention-2的关系并不冲突，前者尝试改变可高效计算的算子结构，后者在不改变标准注意力结果的条件下优化IO。两条路线分别代表算法结构优化和精确内核优化。</w:t>
      </w:r>
    </w:p>
    <w:p>
      <w:pPr>
        <w:widowControl/>
        <w:spacing w:line="360" w:lineRule="auto" w:before="0" w:after="0"/>
        <w:ind w:firstLine="480"/>
        <w:jc w:val="both"/>
      </w:pPr>
      <w:r>
        <w:rPr>
          <w:rFonts w:ascii="Times New Roman" w:hAnsi="Times New Roman" w:eastAsia="宋体"/>
          <w:color w:val="000000"/>
          <w:sz w:val="24"/>
        </w:rPr>
        <w:t>需要强调的是，结构化状态空间对偶只覆盖具有相应矩阵约束的注意力变体，不能推出所有Transformer都等价于固定状态模型。标准Softmax注意力对任意内容位置进行直接比较的能力仍有独特价值，递归压缩则可能损失早期细节。因而本文把该论文作为Transformer效率边界的对照材料，而不把状态空间模型扩展为独立综述方向。未来方案是否有效，仍应在相同参数、数据、上下文和硬件条件下比较建模质量、显存、吞吐与延迟。</w:t>
      </w:r>
    </w:p>
    <w:p>
      <w:pPr>
        <w:keepNext/>
        <w:widowControl/>
        <w:spacing w:before="200" w:after="80"/>
        <w:jc w:val="left"/>
      </w:pPr>
      <w:r>
        <w:rPr>
          <w:rFonts w:ascii="Times New Roman" w:hAnsi="Times New Roman" w:eastAsia="黑体"/>
          <w:b/>
          <w:color w:val="000000"/>
          <w:sz w:val="28"/>
        </w:rPr>
        <w:t>7 算法优缺点综合比较</w:t>
      </w:r>
    </w:p>
    <w:p>
      <w:pPr>
        <w:widowControl/>
        <w:spacing w:line="360" w:lineRule="auto" w:before="0" w:after="0"/>
        <w:ind w:firstLine="480"/>
        <w:jc w:val="both"/>
      </w:pPr>
      <w:r>
        <w:rPr>
          <w:rFonts w:ascii="Times New Roman" w:hAnsi="Times New Roman" w:eastAsia="宋体"/>
          <w:color w:val="000000"/>
          <w:sz w:val="24"/>
        </w:rPr>
        <w:t>从功能上看，标准自注意力提供最灵活的内容寻址，是Transformer建模质量的基准；编码器与解码器通过不同掩码分别服务于理解和生成；MoE主要解决参数容量与单词元计算之间的矛盾；Swin Transformer V2利用视觉局部性构造窗口和层级特征；FlashAttention-2与Ring Attention不改变模型函数，分别优化单设备IO和多设备序列并行。结构化状态空间对偶则用于解释某些注意力变体何时可以转换为更高效的递归计算，但仍属于对Transformer效率边界的讨论。</w:t>
      </w:r>
    </w:p>
    <w:p>
      <w:pPr>
        <w:widowControl/>
        <w:spacing w:line="360" w:lineRule="auto" w:before="0" w:after="0"/>
        <w:ind w:firstLine="480"/>
        <w:jc w:val="both"/>
      </w:pPr>
      <w:r>
        <w:rPr>
          <w:rFonts w:ascii="Times New Roman" w:hAnsi="Times New Roman" w:eastAsia="宋体"/>
          <w:color w:val="000000"/>
          <w:sz w:val="24"/>
        </w:rPr>
        <w:t>这些Transformer方法不存在脱离任务的统一最优解。语言理解强调双向上下文时，仅编码器结构更合适；开放式生成需要统一的自回归接口时，仅解码器结构占优；模型容量受单词元计算预算限制时，MoE更有吸引力；高分辨率视觉任务需要窗口和层级表示；超长文档若要求精确回溯，可优先使用FlashAttention和Ring Attention保持完整注意力。算法评价应同时考虑质量、训练吞吐、首词元延迟、逐词元延迟、峰值显存、通信量、实现成熟度和可解释性，而不能只比较参数量或单个基准分数。</w:t>
      </w:r>
    </w:p>
    <w:p>
      <w:pPr>
        <w:keepNext/>
        <w:widowControl/>
        <w:spacing w:before="200" w:after="80"/>
        <w:jc w:val="left"/>
      </w:pPr>
      <w:r>
        <w:rPr>
          <w:rFonts w:ascii="Times New Roman" w:hAnsi="Times New Roman" w:eastAsia="黑体"/>
          <w:b/>
          <w:color w:val="000000"/>
          <w:sz w:val="28"/>
        </w:rPr>
        <w:t>8 个人见解与未来发展方向</w:t>
      </w:r>
    </w:p>
    <w:p>
      <w:pPr>
        <w:widowControl/>
        <w:spacing w:line="360" w:lineRule="auto" w:before="0" w:after="0"/>
        <w:ind w:firstLine="480"/>
        <w:jc w:val="both"/>
      </w:pPr>
      <w:r>
        <w:rPr>
          <w:rFonts w:ascii="Times New Roman" w:hAnsi="Times New Roman" w:eastAsia="宋体"/>
          <w:color w:val="000000"/>
          <w:sz w:val="24"/>
        </w:rPr>
        <w:t>第一，Transformer内部将形成全局、局部和稀疏注意力的混合。全局注意力擅长跨段检索，但不必在每一层、每一个位置都完整计算；局部窗口适合连续邻域，稀疏路由可以把计算集中到少数相关位置。未来模型可以依据词元内容、任务难度和层级动态选择注意力范围，并在关键层恢复全局连接，从而在不转移研究方向的前提下兼顾长上下文效率与精确寻址。</w:t>
      </w:r>
    </w:p>
    <w:p>
      <w:pPr>
        <w:widowControl/>
        <w:spacing w:line="360" w:lineRule="auto" w:before="0" w:after="0"/>
        <w:ind w:firstLine="480"/>
        <w:jc w:val="both"/>
      </w:pPr>
      <w:r>
        <w:rPr>
          <w:rFonts w:ascii="Times New Roman" w:hAnsi="Times New Roman" w:eastAsia="宋体"/>
          <w:color w:val="000000"/>
          <w:sz w:val="24"/>
        </w:rPr>
        <w:t>第二，Transformer架构设计将越来越依赖软硬件协同。FlashAttention-2、Ring Attention和DeepSeek-V3共同表明，理论复杂度不能完全预测真实速度。数据搬运、片上存储、线程块划分、设备互连、专家路由和低精度格式都会决定算法是否有实际价值。今后的论文除报告参数量和任务分数外，还应公开激活参数、不同批量与长度下的吞吐、通信占比和可复现内核。</w:t>
      </w:r>
    </w:p>
    <w:p>
      <w:pPr>
        <w:widowControl/>
        <w:spacing w:line="360" w:lineRule="auto" w:before="0" w:after="0"/>
        <w:ind w:firstLine="480"/>
        <w:jc w:val="both"/>
      </w:pPr>
      <w:r>
        <w:rPr>
          <w:rFonts w:ascii="Times New Roman" w:hAnsi="Times New Roman" w:eastAsia="宋体"/>
          <w:color w:val="000000"/>
          <w:sz w:val="24"/>
        </w:rPr>
        <w:t>第三，长上下文研究需要从“窗口长度竞赛”转向有效信息利用。一个Transformer即使能容纳百万词元，也可能在关键事实分散、干扰项增多时失去检索能力。未来评测应区分可放置长度、可稳定计算长度和可可靠推理长度，并测试位置变化、跨段组合、反事实干扰和多轮更新。模型侧可结合稀疏注意力、分层摘要和外部检索，训练侧则应增加真正需要远距离组合的数据。</w:t>
      </w:r>
    </w:p>
    <w:p>
      <w:pPr>
        <w:widowControl/>
        <w:spacing w:line="360" w:lineRule="auto" w:before="0" w:after="0"/>
        <w:ind w:firstLine="480"/>
        <w:jc w:val="both"/>
      </w:pPr>
      <w:r>
        <w:rPr>
          <w:rFonts w:ascii="Times New Roman" w:hAnsi="Times New Roman" w:eastAsia="宋体"/>
          <w:color w:val="000000"/>
          <w:sz w:val="24"/>
        </w:rPr>
        <w:t>第四，推理能力的提升需要同时控制计算预算和输出可信度。DeepSeek-R1说明强化学习可以使模型学会分配更多推理步骤，但更长的过程并不必然更正确。可验证奖励适合数学和代码，开放领域仍缺少可靠反馈。未来可以把生成器、验证器、检索模块和外部工具纳入分层决策：简单问题快速回答，复杂问题再增加搜索和验证，并对最终结论给出可核查依据。</w:t>
      </w:r>
    </w:p>
    <w:p>
      <w:pPr>
        <w:widowControl/>
        <w:spacing w:line="360" w:lineRule="auto" w:before="0" w:after="0"/>
        <w:ind w:firstLine="480"/>
        <w:jc w:val="both"/>
      </w:pPr>
      <w:r>
        <w:rPr>
          <w:rFonts w:ascii="Times New Roman" w:hAnsi="Times New Roman" w:eastAsia="宋体"/>
          <w:color w:val="000000"/>
          <w:sz w:val="24"/>
        </w:rPr>
        <w:t>第五，开放程度应成为Transformer技术比较的一部分。GPT-4报告展示了能力和安全评估，但核心架构细节未公开；Mixtral、DeepSeek系列及高效注意力工作提供了更多结构与训练信息。公开程度影响结果可复现性，也影响研究者能否判断提升来自数据、模型、内核还是评测设置。综述中应避免把未披露信息当作事实，并区分论文自报结果、第三方复现和真实部署表现。</w:t>
      </w:r>
    </w:p>
    <w:p>
      <w:pPr>
        <w:keepNext/>
        <w:widowControl/>
        <w:spacing w:before="200" w:after="80"/>
        <w:jc w:val="left"/>
      </w:pPr>
      <w:r>
        <w:rPr>
          <w:rFonts w:ascii="Times New Roman" w:hAnsi="Times New Roman" w:eastAsia="黑体"/>
          <w:b/>
          <w:color w:val="000000"/>
          <w:sz w:val="28"/>
        </w:rPr>
        <w:t>9 结论</w:t>
      </w:r>
    </w:p>
    <w:p>
      <w:pPr>
        <w:widowControl/>
        <w:spacing w:line="360" w:lineRule="auto" w:before="0" w:after="0"/>
        <w:ind w:firstLine="480"/>
        <w:jc w:val="both"/>
      </w:pPr>
      <w:r>
        <w:rPr>
          <w:rFonts w:ascii="Times New Roman" w:hAnsi="Times New Roman" w:eastAsia="宋体"/>
          <w:color w:val="000000"/>
          <w:sz w:val="24"/>
        </w:rPr>
        <w:t>Transformer通过自注意力实现全局内容寻址和训练并行，形成了现代基础模型的统一框架。其演进首先表现为编码器、解码器和编码器—解码器的任务分化，随后扩展到仅解码器大模型、稀疏混合专家和视觉层级窗口。GPT-4展示了规模化与可预测训练，Mixtral和DeepSeek-V3以条件计算提高参数效率，DeepSeek-R1通过强化学习改变推理时计算分配，Swin V2则针对视觉分辨率与稳定性重构注意力。</w:t>
      </w:r>
    </w:p>
    <w:p>
      <w:pPr>
        <w:widowControl/>
        <w:spacing w:line="360" w:lineRule="auto" w:before="0" w:after="0"/>
        <w:ind w:firstLine="480"/>
        <w:jc w:val="both"/>
      </w:pPr>
      <w:r>
        <w:rPr>
          <w:rFonts w:ascii="Times New Roman" w:hAnsi="Times New Roman" w:eastAsia="宋体"/>
          <w:color w:val="000000"/>
          <w:sz w:val="24"/>
        </w:rPr>
        <w:t>面对长序列，FlashAttention-2和Ring Attention在保持精确注意力的前提下，分别减少显存IO并跨设备分配序列；结构化状态空间对偶则说明部分受约束的注意力形式可以采用递归计算，为Transformer线性化提供理论工具[10]。综合现有证据，Transformer仍是本文唯一的研究主线，其边界正在由MoE、缓存压缩、硬件感知内核和结构化注意力不断扩展。更有前景的方向是依据内容寻址需求、序列长度和硬件条件组合不同Transformer模块，在性能、效率与可信度之间形成可验证的平衡。</w:t>
      </w:r>
    </w:p>
    <w:p>
      <w:pPr>
        <w:keepNext/>
        <w:widowControl/>
        <w:spacing w:before="120" w:after="80"/>
        <w:jc w:val="left"/>
      </w:pPr>
      <w:r>
        <w:rPr>
          <w:rFonts w:ascii="Times New Roman" w:hAnsi="Times New Roman" w:eastAsia="黑体"/>
          <w:b/>
          <w:color w:val="000000"/>
          <w:sz w:val="24"/>
        </w:rPr>
        <w:t>参考文献</w:t>
      </w:r>
    </w:p>
    <w:p>
      <w:pPr>
        <w:widowControl/>
        <w:spacing w:line="276" w:lineRule="auto" w:after="40"/>
        <w:ind w:left="480" w:hanging="480"/>
        <w:jc w:val="both"/>
      </w:pPr>
      <w:r>
        <w:rPr>
          <w:rFonts w:ascii="Times New Roman" w:hAnsi="Times New Roman" w:eastAsia="宋体"/>
          <w:color w:val="000000"/>
          <w:sz w:val="21"/>
        </w:rPr>
        <w:t>[1] Vaswani A, Shazeer N, Parmar N, et al. Attention Is All You Need[C]//Advances in Neural Information Processing Systems. 2017, 30.</w:t>
      </w:r>
    </w:p>
    <w:p>
      <w:pPr>
        <w:widowControl/>
        <w:spacing w:line="276" w:lineRule="auto" w:after="40"/>
        <w:ind w:left="480" w:hanging="480"/>
        <w:jc w:val="both"/>
      </w:pPr>
      <w:r>
        <w:rPr>
          <w:rFonts w:ascii="Times New Roman" w:hAnsi="Times New Roman" w:eastAsia="宋体"/>
          <w:color w:val="000000"/>
          <w:sz w:val="21"/>
        </w:rPr>
        <w:t>[2] He P, Gao J, Chen W. DeBERTaV3: Improving DeBERTa Using ELECTRA-Style Pre-Training with Gradient-Disentangled Embedding Sharing[C]//International Conference on Learning Representations. 2023.</w:t>
      </w:r>
    </w:p>
    <w:p>
      <w:pPr>
        <w:widowControl/>
        <w:spacing w:line="276" w:lineRule="auto" w:after="40"/>
        <w:ind w:left="480" w:hanging="480"/>
        <w:jc w:val="both"/>
      </w:pPr>
      <w:r>
        <w:rPr>
          <w:rFonts w:ascii="Times New Roman" w:hAnsi="Times New Roman" w:eastAsia="宋体"/>
          <w:color w:val="000000"/>
          <w:sz w:val="21"/>
        </w:rPr>
        <w:t>[3] OpenAI. GPT-4 Technical Report[J]. arXiv preprint arXiv:2303.08774, 2023.</w:t>
      </w:r>
    </w:p>
    <w:p>
      <w:pPr>
        <w:widowControl/>
        <w:spacing w:line="276" w:lineRule="auto" w:after="40"/>
        <w:ind w:left="480" w:hanging="480"/>
        <w:jc w:val="both"/>
      </w:pPr>
      <w:r>
        <w:rPr>
          <w:rFonts w:ascii="Times New Roman" w:hAnsi="Times New Roman" w:eastAsia="宋体"/>
          <w:color w:val="000000"/>
          <w:sz w:val="21"/>
        </w:rPr>
        <w:t>[4] Jiang A Q, Sablayrolles A, Roux A, et al. Mixtral of Experts[J]. arXiv preprint arXiv:2401.04088, 2024.</w:t>
      </w:r>
    </w:p>
    <w:p>
      <w:pPr>
        <w:widowControl/>
        <w:spacing w:line="276" w:lineRule="auto" w:after="40"/>
        <w:ind w:left="480" w:hanging="480"/>
        <w:jc w:val="both"/>
      </w:pPr>
      <w:r>
        <w:rPr>
          <w:rFonts w:ascii="Times New Roman" w:hAnsi="Times New Roman" w:eastAsia="宋体"/>
          <w:color w:val="000000"/>
          <w:sz w:val="21"/>
        </w:rPr>
        <w:t>[5] DeepSeek-AI. DeepSeek-V3 Technical Report[J]. arXiv preprint arXiv:2412.19437, 2024.</w:t>
      </w:r>
    </w:p>
    <w:p>
      <w:pPr>
        <w:widowControl/>
        <w:spacing w:line="276" w:lineRule="auto" w:after="40"/>
        <w:ind w:left="480" w:hanging="480"/>
        <w:jc w:val="both"/>
      </w:pPr>
      <w:r>
        <w:rPr>
          <w:rFonts w:ascii="Times New Roman" w:hAnsi="Times New Roman" w:eastAsia="宋体"/>
          <w:color w:val="000000"/>
          <w:sz w:val="21"/>
        </w:rPr>
        <w:t>[6] DeepSeek-AI. DeepSeek-R1: Incentivizing Reasoning Capability in LLMs via Reinforcement Learning[J]. arXiv preprint arXiv:2501.12948, 2025.</w:t>
      </w:r>
    </w:p>
    <w:p>
      <w:pPr>
        <w:widowControl/>
        <w:spacing w:line="276" w:lineRule="auto" w:after="40"/>
        <w:ind w:left="480" w:hanging="480"/>
        <w:jc w:val="both"/>
      </w:pPr>
      <w:r>
        <w:rPr>
          <w:rFonts w:ascii="Times New Roman" w:hAnsi="Times New Roman" w:eastAsia="宋体"/>
          <w:color w:val="000000"/>
          <w:sz w:val="21"/>
        </w:rPr>
        <w:t>[7] Liu Z, Hu H, Lin Y, et al. Swin Transformer V2: Scaling Up Capacity and Resolution[C]//Proceedings of the IEEE/CVF Conference on Computer Vision and Pattern Recognition. 2022: 12009-12019.</w:t>
      </w:r>
    </w:p>
    <w:p>
      <w:pPr>
        <w:widowControl/>
        <w:spacing w:line="276" w:lineRule="auto" w:after="40"/>
        <w:ind w:left="480" w:hanging="480"/>
        <w:jc w:val="both"/>
      </w:pPr>
      <w:r>
        <w:rPr>
          <w:rFonts w:ascii="Times New Roman" w:hAnsi="Times New Roman" w:eastAsia="宋体"/>
          <w:color w:val="000000"/>
          <w:sz w:val="21"/>
        </w:rPr>
        <w:t>[8] Dao T. FlashAttention-2: Faster Attention with Better Parallelism and Work Partitioning[J]. arXiv preprint arXiv:2307.08691, 2023.</w:t>
      </w:r>
    </w:p>
    <w:p>
      <w:pPr>
        <w:widowControl/>
        <w:spacing w:line="276" w:lineRule="auto" w:after="40"/>
        <w:ind w:left="480" w:hanging="480"/>
        <w:jc w:val="both"/>
      </w:pPr>
      <w:r>
        <w:rPr>
          <w:rFonts w:ascii="Times New Roman" w:hAnsi="Times New Roman" w:eastAsia="宋体"/>
          <w:color w:val="000000"/>
          <w:sz w:val="21"/>
        </w:rPr>
        <w:t>[9] Liu H, Zaharia M, Abbeel P. Ring Attention with Blockwise Transformers for Near-Infinite Context[J]. arXiv preprint arXiv:2310.01889, 2023.</w:t>
      </w:r>
    </w:p>
    <w:p>
      <w:pPr>
        <w:widowControl/>
        <w:spacing w:line="276" w:lineRule="auto" w:after="40"/>
        <w:ind w:left="480" w:hanging="480"/>
        <w:jc w:val="both"/>
      </w:pPr>
      <w:r>
        <w:rPr>
          <w:rFonts w:ascii="Times New Roman" w:hAnsi="Times New Roman" w:eastAsia="宋体"/>
          <w:color w:val="000000"/>
          <w:sz w:val="21"/>
        </w:rPr>
        <w:t>[10] Dao T, Gu A. Transformers Are SSMs: Generalized Models and Efficient Algorithms Through Structured State Space Duality[J]. arXiv preprint arXiv:2405.21060, 2024.</w:t>
      </w:r>
    </w:p>
    <w:sectPr w:rsidR="00E55D75" w:rsidRPr="00E55D75">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8EF1" w14:textId="77777777" w:rsidR="00385FA7" w:rsidRDefault="00385FA7" w:rsidP="00707863">
      <w:r>
        <w:separator/>
      </w:r>
    </w:p>
  </w:endnote>
  <w:endnote w:type="continuationSeparator" w:id="0">
    <w:p w14:paraId="08170C2D" w14:textId="77777777" w:rsidR="00385FA7" w:rsidRDefault="00385FA7" w:rsidP="00707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B570B" w14:textId="77777777" w:rsidR="00385FA7" w:rsidRDefault="00385FA7" w:rsidP="00707863">
      <w:r>
        <w:separator/>
      </w:r>
    </w:p>
  </w:footnote>
  <w:footnote w:type="continuationSeparator" w:id="0">
    <w:p w14:paraId="45051739" w14:textId="77777777" w:rsidR="00385FA7" w:rsidRDefault="00385FA7" w:rsidP="00707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A03"/>
    <w:multiLevelType w:val="hybridMultilevel"/>
    <w:tmpl w:val="8A7C5830"/>
    <w:lvl w:ilvl="0" w:tplc="98522AD4">
      <w:start w:val="1"/>
      <w:numFmt w:val="decimal"/>
      <w:lvlText w:val="（%1）"/>
      <w:lvlJc w:val="left"/>
      <w:pPr>
        <w:ind w:left="915" w:hanging="440"/>
      </w:pPr>
      <w:rPr>
        <w:rFonts w:hint="default"/>
      </w:rPr>
    </w:lvl>
    <w:lvl w:ilvl="1" w:tplc="04090019" w:tentative="1">
      <w:start w:val="1"/>
      <w:numFmt w:val="lowerLetter"/>
      <w:lvlText w:val="%2)"/>
      <w:lvlJc w:val="left"/>
      <w:pPr>
        <w:ind w:left="1355" w:hanging="440"/>
      </w:pPr>
    </w:lvl>
    <w:lvl w:ilvl="2" w:tplc="0409001B" w:tentative="1">
      <w:start w:val="1"/>
      <w:numFmt w:val="lowerRoman"/>
      <w:lvlText w:val="%3."/>
      <w:lvlJc w:val="right"/>
      <w:pPr>
        <w:ind w:left="1795" w:hanging="440"/>
      </w:pPr>
    </w:lvl>
    <w:lvl w:ilvl="3" w:tplc="0409000F" w:tentative="1">
      <w:start w:val="1"/>
      <w:numFmt w:val="decimal"/>
      <w:lvlText w:val="%4."/>
      <w:lvlJc w:val="left"/>
      <w:pPr>
        <w:ind w:left="2235" w:hanging="440"/>
      </w:pPr>
    </w:lvl>
    <w:lvl w:ilvl="4" w:tplc="04090019" w:tentative="1">
      <w:start w:val="1"/>
      <w:numFmt w:val="lowerLetter"/>
      <w:lvlText w:val="%5)"/>
      <w:lvlJc w:val="left"/>
      <w:pPr>
        <w:ind w:left="2675" w:hanging="440"/>
      </w:pPr>
    </w:lvl>
    <w:lvl w:ilvl="5" w:tplc="0409001B" w:tentative="1">
      <w:start w:val="1"/>
      <w:numFmt w:val="lowerRoman"/>
      <w:lvlText w:val="%6."/>
      <w:lvlJc w:val="right"/>
      <w:pPr>
        <w:ind w:left="3115" w:hanging="440"/>
      </w:pPr>
    </w:lvl>
    <w:lvl w:ilvl="6" w:tplc="0409000F" w:tentative="1">
      <w:start w:val="1"/>
      <w:numFmt w:val="decimal"/>
      <w:lvlText w:val="%7."/>
      <w:lvlJc w:val="left"/>
      <w:pPr>
        <w:ind w:left="3555" w:hanging="440"/>
      </w:pPr>
    </w:lvl>
    <w:lvl w:ilvl="7" w:tplc="04090019" w:tentative="1">
      <w:start w:val="1"/>
      <w:numFmt w:val="lowerLetter"/>
      <w:lvlText w:val="%8)"/>
      <w:lvlJc w:val="left"/>
      <w:pPr>
        <w:ind w:left="3995" w:hanging="440"/>
      </w:pPr>
    </w:lvl>
    <w:lvl w:ilvl="8" w:tplc="0409001B" w:tentative="1">
      <w:start w:val="1"/>
      <w:numFmt w:val="lowerRoman"/>
      <w:lvlText w:val="%9."/>
      <w:lvlJc w:val="right"/>
      <w:pPr>
        <w:ind w:left="4435" w:hanging="440"/>
      </w:pPr>
    </w:lvl>
  </w:abstractNum>
  <w:abstractNum w:abstractNumId="1" w15:restartNumberingAfterBreak="0">
    <w:nsid w:val="023D16A3"/>
    <w:multiLevelType w:val="hybridMultilevel"/>
    <w:tmpl w:val="3076989E"/>
    <w:lvl w:ilvl="0" w:tplc="5E122CD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1306FD"/>
    <w:multiLevelType w:val="multilevel"/>
    <w:tmpl w:val="9C0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2111F"/>
    <w:multiLevelType w:val="hybridMultilevel"/>
    <w:tmpl w:val="3610739E"/>
    <w:lvl w:ilvl="0" w:tplc="FFFFFFFF">
      <w:start w:val="1"/>
      <w:numFmt w:val="decimal"/>
      <w:lvlText w:val="（%1）"/>
      <w:lvlJc w:val="left"/>
      <w:pPr>
        <w:ind w:left="915" w:hanging="440"/>
      </w:pPr>
      <w:rPr>
        <w:rFonts w:hint="default"/>
      </w:rPr>
    </w:lvl>
    <w:lvl w:ilvl="1" w:tplc="FFFFFFFF" w:tentative="1">
      <w:start w:val="1"/>
      <w:numFmt w:val="lowerLetter"/>
      <w:lvlText w:val="%2)"/>
      <w:lvlJc w:val="left"/>
      <w:pPr>
        <w:ind w:left="1355" w:hanging="440"/>
      </w:pPr>
    </w:lvl>
    <w:lvl w:ilvl="2" w:tplc="FFFFFFFF" w:tentative="1">
      <w:start w:val="1"/>
      <w:numFmt w:val="lowerRoman"/>
      <w:lvlText w:val="%3."/>
      <w:lvlJc w:val="right"/>
      <w:pPr>
        <w:ind w:left="1795" w:hanging="440"/>
      </w:pPr>
    </w:lvl>
    <w:lvl w:ilvl="3" w:tplc="FFFFFFFF" w:tentative="1">
      <w:start w:val="1"/>
      <w:numFmt w:val="decimal"/>
      <w:lvlText w:val="%4."/>
      <w:lvlJc w:val="left"/>
      <w:pPr>
        <w:ind w:left="2235" w:hanging="440"/>
      </w:pPr>
    </w:lvl>
    <w:lvl w:ilvl="4" w:tplc="FFFFFFFF" w:tentative="1">
      <w:start w:val="1"/>
      <w:numFmt w:val="lowerLetter"/>
      <w:lvlText w:val="%5)"/>
      <w:lvlJc w:val="left"/>
      <w:pPr>
        <w:ind w:left="2675" w:hanging="440"/>
      </w:pPr>
    </w:lvl>
    <w:lvl w:ilvl="5" w:tplc="FFFFFFFF" w:tentative="1">
      <w:start w:val="1"/>
      <w:numFmt w:val="lowerRoman"/>
      <w:lvlText w:val="%6."/>
      <w:lvlJc w:val="right"/>
      <w:pPr>
        <w:ind w:left="3115" w:hanging="440"/>
      </w:pPr>
    </w:lvl>
    <w:lvl w:ilvl="6" w:tplc="FFFFFFFF" w:tentative="1">
      <w:start w:val="1"/>
      <w:numFmt w:val="decimal"/>
      <w:lvlText w:val="%7."/>
      <w:lvlJc w:val="left"/>
      <w:pPr>
        <w:ind w:left="3555" w:hanging="440"/>
      </w:pPr>
    </w:lvl>
    <w:lvl w:ilvl="7" w:tplc="FFFFFFFF" w:tentative="1">
      <w:start w:val="1"/>
      <w:numFmt w:val="lowerLetter"/>
      <w:lvlText w:val="%8)"/>
      <w:lvlJc w:val="left"/>
      <w:pPr>
        <w:ind w:left="3995" w:hanging="440"/>
      </w:pPr>
    </w:lvl>
    <w:lvl w:ilvl="8" w:tplc="FFFFFFFF" w:tentative="1">
      <w:start w:val="1"/>
      <w:numFmt w:val="lowerRoman"/>
      <w:lvlText w:val="%9."/>
      <w:lvlJc w:val="right"/>
      <w:pPr>
        <w:ind w:left="4435" w:hanging="440"/>
      </w:pPr>
    </w:lvl>
  </w:abstractNum>
  <w:abstractNum w:abstractNumId="4" w15:restartNumberingAfterBreak="0">
    <w:nsid w:val="0AC8468E"/>
    <w:multiLevelType w:val="multilevel"/>
    <w:tmpl w:val="0EB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1CEF"/>
    <w:multiLevelType w:val="multilevel"/>
    <w:tmpl w:val="730617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0B0BB3"/>
    <w:multiLevelType w:val="multilevel"/>
    <w:tmpl w:val="26FC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F5F48"/>
    <w:multiLevelType w:val="multilevel"/>
    <w:tmpl w:val="19F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36164"/>
    <w:multiLevelType w:val="hybridMultilevel"/>
    <w:tmpl w:val="831652F0"/>
    <w:lvl w:ilvl="0" w:tplc="FFFFFFFF">
      <w:start w:val="1"/>
      <w:numFmt w:val="decimal"/>
      <w:lvlText w:val="（%1）"/>
      <w:lvlJc w:val="left"/>
      <w:pPr>
        <w:ind w:left="915" w:hanging="440"/>
      </w:pPr>
      <w:rPr>
        <w:rFonts w:hint="default"/>
      </w:rPr>
    </w:lvl>
    <w:lvl w:ilvl="1" w:tplc="FFFFFFFF" w:tentative="1">
      <w:start w:val="1"/>
      <w:numFmt w:val="lowerLetter"/>
      <w:lvlText w:val="%2)"/>
      <w:lvlJc w:val="left"/>
      <w:pPr>
        <w:ind w:left="1355" w:hanging="440"/>
      </w:pPr>
    </w:lvl>
    <w:lvl w:ilvl="2" w:tplc="FFFFFFFF" w:tentative="1">
      <w:start w:val="1"/>
      <w:numFmt w:val="lowerRoman"/>
      <w:lvlText w:val="%3."/>
      <w:lvlJc w:val="right"/>
      <w:pPr>
        <w:ind w:left="1795" w:hanging="440"/>
      </w:pPr>
    </w:lvl>
    <w:lvl w:ilvl="3" w:tplc="FFFFFFFF" w:tentative="1">
      <w:start w:val="1"/>
      <w:numFmt w:val="decimal"/>
      <w:lvlText w:val="%4."/>
      <w:lvlJc w:val="left"/>
      <w:pPr>
        <w:ind w:left="2235" w:hanging="440"/>
      </w:pPr>
    </w:lvl>
    <w:lvl w:ilvl="4" w:tplc="FFFFFFFF" w:tentative="1">
      <w:start w:val="1"/>
      <w:numFmt w:val="lowerLetter"/>
      <w:lvlText w:val="%5)"/>
      <w:lvlJc w:val="left"/>
      <w:pPr>
        <w:ind w:left="2675" w:hanging="440"/>
      </w:pPr>
    </w:lvl>
    <w:lvl w:ilvl="5" w:tplc="FFFFFFFF" w:tentative="1">
      <w:start w:val="1"/>
      <w:numFmt w:val="lowerRoman"/>
      <w:lvlText w:val="%6."/>
      <w:lvlJc w:val="right"/>
      <w:pPr>
        <w:ind w:left="3115" w:hanging="440"/>
      </w:pPr>
    </w:lvl>
    <w:lvl w:ilvl="6" w:tplc="FFFFFFFF" w:tentative="1">
      <w:start w:val="1"/>
      <w:numFmt w:val="decimal"/>
      <w:lvlText w:val="%7."/>
      <w:lvlJc w:val="left"/>
      <w:pPr>
        <w:ind w:left="3555" w:hanging="440"/>
      </w:pPr>
    </w:lvl>
    <w:lvl w:ilvl="7" w:tplc="FFFFFFFF" w:tentative="1">
      <w:start w:val="1"/>
      <w:numFmt w:val="lowerLetter"/>
      <w:lvlText w:val="%8)"/>
      <w:lvlJc w:val="left"/>
      <w:pPr>
        <w:ind w:left="3995" w:hanging="440"/>
      </w:pPr>
    </w:lvl>
    <w:lvl w:ilvl="8" w:tplc="FFFFFFFF" w:tentative="1">
      <w:start w:val="1"/>
      <w:numFmt w:val="lowerRoman"/>
      <w:lvlText w:val="%9."/>
      <w:lvlJc w:val="right"/>
      <w:pPr>
        <w:ind w:left="4435" w:hanging="440"/>
      </w:pPr>
    </w:lvl>
  </w:abstractNum>
  <w:abstractNum w:abstractNumId="9" w15:restartNumberingAfterBreak="0">
    <w:nsid w:val="1DA327BD"/>
    <w:multiLevelType w:val="multilevel"/>
    <w:tmpl w:val="6F3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68AE"/>
    <w:multiLevelType w:val="multilevel"/>
    <w:tmpl w:val="69A4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33B9A"/>
    <w:multiLevelType w:val="hybridMultilevel"/>
    <w:tmpl w:val="75A49486"/>
    <w:lvl w:ilvl="0" w:tplc="98522AD4">
      <w:start w:val="1"/>
      <w:numFmt w:val="decimal"/>
      <w:lvlText w:val="（%1）"/>
      <w:lvlJc w:val="left"/>
      <w:pPr>
        <w:ind w:left="915" w:hanging="440"/>
      </w:pPr>
      <w:rPr>
        <w:rFonts w:hint="default"/>
      </w:rPr>
    </w:lvl>
    <w:lvl w:ilvl="1" w:tplc="04090019" w:tentative="1">
      <w:start w:val="1"/>
      <w:numFmt w:val="lowerLetter"/>
      <w:lvlText w:val="%2)"/>
      <w:lvlJc w:val="left"/>
      <w:pPr>
        <w:ind w:left="1355" w:hanging="440"/>
      </w:pPr>
    </w:lvl>
    <w:lvl w:ilvl="2" w:tplc="0409001B" w:tentative="1">
      <w:start w:val="1"/>
      <w:numFmt w:val="lowerRoman"/>
      <w:lvlText w:val="%3."/>
      <w:lvlJc w:val="right"/>
      <w:pPr>
        <w:ind w:left="1795" w:hanging="440"/>
      </w:pPr>
    </w:lvl>
    <w:lvl w:ilvl="3" w:tplc="0409000F" w:tentative="1">
      <w:start w:val="1"/>
      <w:numFmt w:val="decimal"/>
      <w:lvlText w:val="%4."/>
      <w:lvlJc w:val="left"/>
      <w:pPr>
        <w:ind w:left="2235" w:hanging="440"/>
      </w:pPr>
    </w:lvl>
    <w:lvl w:ilvl="4" w:tplc="04090019" w:tentative="1">
      <w:start w:val="1"/>
      <w:numFmt w:val="lowerLetter"/>
      <w:lvlText w:val="%5)"/>
      <w:lvlJc w:val="left"/>
      <w:pPr>
        <w:ind w:left="2675" w:hanging="440"/>
      </w:pPr>
    </w:lvl>
    <w:lvl w:ilvl="5" w:tplc="0409001B" w:tentative="1">
      <w:start w:val="1"/>
      <w:numFmt w:val="lowerRoman"/>
      <w:lvlText w:val="%6."/>
      <w:lvlJc w:val="right"/>
      <w:pPr>
        <w:ind w:left="3115" w:hanging="440"/>
      </w:pPr>
    </w:lvl>
    <w:lvl w:ilvl="6" w:tplc="0409000F" w:tentative="1">
      <w:start w:val="1"/>
      <w:numFmt w:val="decimal"/>
      <w:lvlText w:val="%7."/>
      <w:lvlJc w:val="left"/>
      <w:pPr>
        <w:ind w:left="3555" w:hanging="440"/>
      </w:pPr>
    </w:lvl>
    <w:lvl w:ilvl="7" w:tplc="04090019" w:tentative="1">
      <w:start w:val="1"/>
      <w:numFmt w:val="lowerLetter"/>
      <w:lvlText w:val="%8)"/>
      <w:lvlJc w:val="left"/>
      <w:pPr>
        <w:ind w:left="3995" w:hanging="440"/>
      </w:pPr>
    </w:lvl>
    <w:lvl w:ilvl="8" w:tplc="0409001B" w:tentative="1">
      <w:start w:val="1"/>
      <w:numFmt w:val="lowerRoman"/>
      <w:lvlText w:val="%9."/>
      <w:lvlJc w:val="right"/>
      <w:pPr>
        <w:ind w:left="4435" w:hanging="440"/>
      </w:pPr>
    </w:lvl>
  </w:abstractNum>
  <w:abstractNum w:abstractNumId="12" w15:restartNumberingAfterBreak="0">
    <w:nsid w:val="219917C9"/>
    <w:multiLevelType w:val="multilevel"/>
    <w:tmpl w:val="560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76A1C"/>
    <w:multiLevelType w:val="multilevel"/>
    <w:tmpl w:val="2582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8178F"/>
    <w:multiLevelType w:val="multilevel"/>
    <w:tmpl w:val="12AA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2423E"/>
    <w:multiLevelType w:val="multilevel"/>
    <w:tmpl w:val="2FCAB9F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EFD56D2"/>
    <w:multiLevelType w:val="multilevel"/>
    <w:tmpl w:val="F4142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67A79"/>
    <w:multiLevelType w:val="multilevel"/>
    <w:tmpl w:val="F1B0A1AC"/>
    <w:lvl w:ilvl="0">
      <w:start w:val="1"/>
      <w:numFmt w:val="decimal"/>
      <w:lvlText w:val="%1."/>
      <w:lvlJc w:val="left"/>
      <w:pPr>
        <w:ind w:left="532" w:hanging="360"/>
      </w:pPr>
      <w:rPr>
        <w:rFonts w:hint="default"/>
      </w:rPr>
    </w:lvl>
    <w:lvl w:ilvl="1">
      <w:start w:val="1"/>
      <w:numFmt w:val="decimal"/>
      <w:isLgl/>
      <w:lvlText w:val="%1.%2"/>
      <w:lvlJc w:val="left"/>
      <w:pPr>
        <w:ind w:left="892" w:hanging="720"/>
      </w:pPr>
      <w:rPr>
        <w:rFonts w:hint="default"/>
      </w:rPr>
    </w:lvl>
    <w:lvl w:ilvl="2">
      <w:start w:val="1"/>
      <w:numFmt w:val="decimal"/>
      <w:isLgl/>
      <w:lvlText w:val="%1.%2.%3"/>
      <w:lvlJc w:val="left"/>
      <w:pPr>
        <w:ind w:left="1252" w:hanging="1080"/>
      </w:pPr>
      <w:rPr>
        <w:rFonts w:hint="default"/>
      </w:rPr>
    </w:lvl>
    <w:lvl w:ilvl="3">
      <w:start w:val="1"/>
      <w:numFmt w:val="decimal"/>
      <w:isLgl/>
      <w:lvlText w:val="%1.%2.%3.%4"/>
      <w:lvlJc w:val="left"/>
      <w:pPr>
        <w:ind w:left="1252" w:hanging="1080"/>
      </w:pPr>
      <w:rPr>
        <w:rFonts w:hint="default"/>
      </w:rPr>
    </w:lvl>
    <w:lvl w:ilvl="4">
      <w:start w:val="1"/>
      <w:numFmt w:val="decimal"/>
      <w:isLgl/>
      <w:lvlText w:val="%1.%2.%3.%4.%5"/>
      <w:lvlJc w:val="left"/>
      <w:pPr>
        <w:ind w:left="1612" w:hanging="1440"/>
      </w:pPr>
      <w:rPr>
        <w:rFonts w:hint="default"/>
      </w:rPr>
    </w:lvl>
    <w:lvl w:ilvl="5">
      <w:start w:val="1"/>
      <w:numFmt w:val="decimal"/>
      <w:isLgl/>
      <w:lvlText w:val="%1.%2.%3.%4.%5.%6"/>
      <w:lvlJc w:val="left"/>
      <w:pPr>
        <w:ind w:left="1972" w:hanging="1800"/>
      </w:pPr>
      <w:rPr>
        <w:rFonts w:hint="default"/>
      </w:rPr>
    </w:lvl>
    <w:lvl w:ilvl="6">
      <w:start w:val="1"/>
      <w:numFmt w:val="decimal"/>
      <w:isLgl/>
      <w:lvlText w:val="%1.%2.%3.%4.%5.%6.%7"/>
      <w:lvlJc w:val="left"/>
      <w:pPr>
        <w:ind w:left="2332" w:hanging="2160"/>
      </w:pPr>
      <w:rPr>
        <w:rFonts w:hint="default"/>
      </w:rPr>
    </w:lvl>
    <w:lvl w:ilvl="7">
      <w:start w:val="1"/>
      <w:numFmt w:val="decimal"/>
      <w:isLgl/>
      <w:lvlText w:val="%1.%2.%3.%4.%5.%6.%7.%8"/>
      <w:lvlJc w:val="left"/>
      <w:pPr>
        <w:ind w:left="2692" w:hanging="2520"/>
      </w:pPr>
      <w:rPr>
        <w:rFonts w:hint="default"/>
      </w:rPr>
    </w:lvl>
    <w:lvl w:ilvl="8">
      <w:start w:val="1"/>
      <w:numFmt w:val="decimal"/>
      <w:isLgl/>
      <w:lvlText w:val="%1.%2.%3.%4.%5.%6.%7.%8.%9"/>
      <w:lvlJc w:val="left"/>
      <w:pPr>
        <w:ind w:left="2692" w:hanging="2520"/>
      </w:pPr>
      <w:rPr>
        <w:rFonts w:hint="default"/>
      </w:rPr>
    </w:lvl>
  </w:abstractNum>
  <w:abstractNum w:abstractNumId="18" w15:restartNumberingAfterBreak="0">
    <w:nsid w:val="384F5EA2"/>
    <w:multiLevelType w:val="multilevel"/>
    <w:tmpl w:val="922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27AF4"/>
    <w:multiLevelType w:val="multilevel"/>
    <w:tmpl w:val="725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358B2"/>
    <w:multiLevelType w:val="multilevel"/>
    <w:tmpl w:val="FA82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0002F3"/>
    <w:multiLevelType w:val="multilevel"/>
    <w:tmpl w:val="CB90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F77716"/>
    <w:multiLevelType w:val="hybridMultilevel"/>
    <w:tmpl w:val="28D4D9C8"/>
    <w:lvl w:ilvl="0" w:tplc="FFFFFFFF">
      <w:start w:val="1"/>
      <w:numFmt w:val="decimal"/>
      <w:lvlText w:val="（%1）"/>
      <w:lvlJc w:val="left"/>
      <w:pPr>
        <w:ind w:left="915" w:hanging="440"/>
      </w:pPr>
      <w:rPr>
        <w:rFonts w:hint="default"/>
      </w:rPr>
    </w:lvl>
    <w:lvl w:ilvl="1" w:tplc="FFFFFFFF" w:tentative="1">
      <w:start w:val="1"/>
      <w:numFmt w:val="lowerLetter"/>
      <w:lvlText w:val="%2)"/>
      <w:lvlJc w:val="left"/>
      <w:pPr>
        <w:ind w:left="1355" w:hanging="440"/>
      </w:pPr>
    </w:lvl>
    <w:lvl w:ilvl="2" w:tplc="FFFFFFFF" w:tentative="1">
      <w:start w:val="1"/>
      <w:numFmt w:val="lowerRoman"/>
      <w:lvlText w:val="%3."/>
      <w:lvlJc w:val="right"/>
      <w:pPr>
        <w:ind w:left="1795" w:hanging="440"/>
      </w:pPr>
    </w:lvl>
    <w:lvl w:ilvl="3" w:tplc="FFFFFFFF" w:tentative="1">
      <w:start w:val="1"/>
      <w:numFmt w:val="decimal"/>
      <w:lvlText w:val="%4."/>
      <w:lvlJc w:val="left"/>
      <w:pPr>
        <w:ind w:left="2235" w:hanging="440"/>
      </w:pPr>
    </w:lvl>
    <w:lvl w:ilvl="4" w:tplc="FFFFFFFF" w:tentative="1">
      <w:start w:val="1"/>
      <w:numFmt w:val="lowerLetter"/>
      <w:lvlText w:val="%5)"/>
      <w:lvlJc w:val="left"/>
      <w:pPr>
        <w:ind w:left="2675" w:hanging="440"/>
      </w:pPr>
    </w:lvl>
    <w:lvl w:ilvl="5" w:tplc="FFFFFFFF" w:tentative="1">
      <w:start w:val="1"/>
      <w:numFmt w:val="lowerRoman"/>
      <w:lvlText w:val="%6."/>
      <w:lvlJc w:val="right"/>
      <w:pPr>
        <w:ind w:left="3115" w:hanging="440"/>
      </w:pPr>
    </w:lvl>
    <w:lvl w:ilvl="6" w:tplc="FFFFFFFF" w:tentative="1">
      <w:start w:val="1"/>
      <w:numFmt w:val="decimal"/>
      <w:lvlText w:val="%7."/>
      <w:lvlJc w:val="left"/>
      <w:pPr>
        <w:ind w:left="3555" w:hanging="440"/>
      </w:pPr>
    </w:lvl>
    <w:lvl w:ilvl="7" w:tplc="FFFFFFFF" w:tentative="1">
      <w:start w:val="1"/>
      <w:numFmt w:val="lowerLetter"/>
      <w:lvlText w:val="%8)"/>
      <w:lvlJc w:val="left"/>
      <w:pPr>
        <w:ind w:left="3995" w:hanging="440"/>
      </w:pPr>
    </w:lvl>
    <w:lvl w:ilvl="8" w:tplc="FFFFFFFF" w:tentative="1">
      <w:start w:val="1"/>
      <w:numFmt w:val="lowerRoman"/>
      <w:lvlText w:val="%9."/>
      <w:lvlJc w:val="right"/>
      <w:pPr>
        <w:ind w:left="4435" w:hanging="440"/>
      </w:pPr>
    </w:lvl>
  </w:abstractNum>
  <w:abstractNum w:abstractNumId="23" w15:restartNumberingAfterBreak="0">
    <w:nsid w:val="418D09A2"/>
    <w:multiLevelType w:val="hybridMultilevel"/>
    <w:tmpl w:val="831652F0"/>
    <w:lvl w:ilvl="0" w:tplc="FFFFFFFF">
      <w:start w:val="1"/>
      <w:numFmt w:val="decimal"/>
      <w:lvlText w:val="（%1）"/>
      <w:lvlJc w:val="left"/>
      <w:pPr>
        <w:ind w:left="915" w:hanging="440"/>
      </w:pPr>
      <w:rPr>
        <w:rFonts w:hint="default"/>
      </w:rPr>
    </w:lvl>
    <w:lvl w:ilvl="1" w:tplc="FFFFFFFF" w:tentative="1">
      <w:start w:val="1"/>
      <w:numFmt w:val="lowerLetter"/>
      <w:lvlText w:val="%2)"/>
      <w:lvlJc w:val="left"/>
      <w:pPr>
        <w:ind w:left="1355" w:hanging="440"/>
      </w:pPr>
    </w:lvl>
    <w:lvl w:ilvl="2" w:tplc="FFFFFFFF" w:tentative="1">
      <w:start w:val="1"/>
      <w:numFmt w:val="lowerRoman"/>
      <w:lvlText w:val="%3."/>
      <w:lvlJc w:val="right"/>
      <w:pPr>
        <w:ind w:left="1795" w:hanging="440"/>
      </w:pPr>
    </w:lvl>
    <w:lvl w:ilvl="3" w:tplc="FFFFFFFF" w:tentative="1">
      <w:start w:val="1"/>
      <w:numFmt w:val="decimal"/>
      <w:lvlText w:val="%4."/>
      <w:lvlJc w:val="left"/>
      <w:pPr>
        <w:ind w:left="2235" w:hanging="440"/>
      </w:pPr>
    </w:lvl>
    <w:lvl w:ilvl="4" w:tplc="FFFFFFFF" w:tentative="1">
      <w:start w:val="1"/>
      <w:numFmt w:val="lowerLetter"/>
      <w:lvlText w:val="%5)"/>
      <w:lvlJc w:val="left"/>
      <w:pPr>
        <w:ind w:left="2675" w:hanging="440"/>
      </w:pPr>
    </w:lvl>
    <w:lvl w:ilvl="5" w:tplc="FFFFFFFF" w:tentative="1">
      <w:start w:val="1"/>
      <w:numFmt w:val="lowerRoman"/>
      <w:lvlText w:val="%6."/>
      <w:lvlJc w:val="right"/>
      <w:pPr>
        <w:ind w:left="3115" w:hanging="440"/>
      </w:pPr>
    </w:lvl>
    <w:lvl w:ilvl="6" w:tplc="FFFFFFFF" w:tentative="1">
      <w:start w:val="1"/>
      <w:numFmt w:val="decimal"/>
      <w:lvlText w:val="%7."/>
      <w:lvlJc w:val="left"/>
      <w:pPr>
        <w:ind w:left="3555" w:hanging="440"/>
      </w:pPr>
    </w:lvl>
    <w:lvl w:ilvl="7" w:tplc="FFFFFFFF" w:tentative="1">
      <w:start w:val="1"/>
      <w:numFmt w:val="lowerLetter"/>
      <w:lvlText w:val="%8)"/>
      <w:lvlJc w:val="left"/>
      <w:pPr>
        <w:ind w:left="3995" w:hanging="440"/>
      </w:pPr>
    </w:lvl>
    <w:lvl w:ilvl="8" w:tplc="FFFFFFFF" w:tentative="1">
      <w:start w:val="1"/>
      <w:numFmt w:val="lowerRoman"/>
      <w:lvlText w:val="%9."/>
      <w:lvlJc w:val="right"/>
      <w:pPr>
        <w:ind w:left="4435" w:hanging="440"/>
      </w:pPr>
    </w:lvl>
  </w:abstractNum>
  <w:abstractNum w:abstractNumId="24" w15:restartNumberingAfterBreak="0">
    <w:nsid w:val="421B438C"/>
    <w:multiLevelType w:val="multilevel"/>
    <w:tmpl w:val="1D2EB7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F292484"/>
    <w:multiLevelType w:val="multilevel"/>
    <w:tmpl w:val="409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C7875"/>
    <w:multiLevelType w:val="multilevel"/>
    <w:tmpl w:val="D1D465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39B77C9"/>
    <w:multiLevelType w:val="hybridMultilevel"/>
    <w:tmpl w:val="6742ADFC"/>
    <w:lvl w:ilvl="0" w:tplc="98522AD4">
      <w:start w:val="1"/>
      <w:numFmt w:val="decimal"/>
      <w:lvlText w:val="（%1）"/>
      <w:lvlJc w:val="left"/>
      <w:pPr>
        <w:ind w:left="915" w:hanging="440"/>
      </w:pPr>
      <w:rPr>
        <w:rFonts w:hint="default"/>
      </w:rPr>
    </w:lvl>
    <w:lvl w:ilvl="1" w:tplc="04090019" w:tentative="1">
      <w:start w:val="1"/>
      <w:numFmt w:val="lowerLetter"/>
      <w:lvlText w:val="%2)"/>
      <w:lvlJc w:val="left"/>
      <w:pPr>
        <w:ind w:left="1355" w:hanging="440"/>
      </w:pPr>
    </w:lvl>
    <w:lvl w:ilvl="2" w:tplc="0409001B" w:tentative="1">
      <w:start w:val="1"/>
      <w:numFmt w:val="lowerRoman"/>
      <w:lvlText w:val="%3."/>
      <w:lvlJc w:val="right"/>
      <w:pPr>
        <w:ind w:left="1795" w:hanging="440"/>
      </w:pPr>
    </w:lvl>
    <w:lvl w:ilvl="3" w:tplc="0409000F" w:tentative="1">
      <w:start w:val="1"/>
      <w:numFmt w:val="decimal"/>
      <w:lvlText w:val="%4."/>
      <w:lvlJc w:val="left"/>
      <w:pPr>
        <w:ind w:left="2235" w:hanging="440"/>
      </w:pPr>
    </w:lvl>
    <w:lvl w:ilvl="4" w:tplc="04090019" w:tentative="1">
      <w:start w:val="1"/>
      <w:numFmt w:val="lowerLetter"/>
      <w:lvlText w:val="%5)"/>
      <w:lvlJc w:val="left"/>
      <w:pPr>
        <w:ind w:left="2675" w:hanging="440"/>
      </w:pPr>
    </w:lvl>
    <w:lvl w:ilvl="5" w:tplc="0409001B" w:tentative="1">
      <w:start w:val="1"/>
      <w:numFmt w:val="lowerRoman"/>
      <w:lvlText w:val="%6."/>
      <w:lvlJc w:val="right"/>
      <w:pPr>
        <w:ind w:left="3115" w:hanging="440"/>
      </w:pPr>
    </w:lvl>
    <w:lvl w:ilvl="6" w:tplc="0409000F" w:tentative="1">
      <w:start w:val="1"/>
      <w:numFmt w:val="decimal"/>
      <w:lvlText w:val="%7."/>
      <w:lvlJc w:val="left"/>
      <w:pPr>
        <w:ind w:left="3555" w:hanging="440"/>
      </w:pPr>
    </w:lvl>
    <w:lvl w:ilvl="7" w:tplc="04090019" w:tentative="1">
      <w:start w:val="1"/>
      <w:numFmt w:val="lowerLetter"/>
      <w:lvlText w:val="%8)"/>
      <w:lvlJc w:val="left"/>
      <w:pPr>
        <w:ind w:left="3995" w:hanging="440"/>
      </w:pPr>
    </w:lvl>
    <w:lvl w:ilvl="8" w:tplc="0409001B" w:tentative="1">
      <w:start w:val="1"/>
      <w:numFmt w:val="lowerRoman"/>
      <w:lvlText w:val="%9."/>
      <w:lvlJc w:val="right"/>
      <w:pPr>
        <w:ind w:left="4435" w:hanging="440"/>
      </w:pPr>
    </w:lvl>
  </w:abstractNum>
  <w:abstractNum w:abstractNumId="28" w15:restartNumberingAfterBreak="0">
    <w:nsid w:val="647A5769"/>
    <w:multiLevelType w:val="multilevel"/>
    <w:tmpl w:val="226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D2DE7"/>
    <w:multiLevelType w:val="hybridMultilevel"/>
    <w:tmpl w:val="F16AFC00"/>
    <w:lvl w:ilvl="0" w:tplc="98522AD4">
      <w:start w:val="1"/>
      <w:numFmt w:val="decimal"/>
      <w:lvlText w:val="（%1）"/>
      <w:lvlJc w:val="left"/>
      <w:pPr>
        <w:ind w:left="915" w:hanging="440"/>
      </w:pPr>
      <w:rPr>
        <w:rFonts w:hint="default"/>
      </w:rPr>
    </w:lvl>
    <w:lvl w:ilvl="1" w:tplc="04090019" w:tentative="1">
      <w:start w:val="1"/>
      <w:numFmt w:val="lowerLetter"/>
      <w:lvlText w:val="%2)"/>
      <w:lvlJc w:val="left"/>
      <w:pPr>
        <w:ind w:left="1355" w:hanging="440"/>
      </w:pPr>
    </w:lvl>
    <w:lvl w:ilvl="2" w:tplc="0409001B" w:tentative="1">
      <w:start w:val="1"/>
      <w:numFmt w:val="lowerRoman"/>
      <w:lvlText w:val="%3."/>
      <w:lvlJc w:val="right"/>
      <w:pPr>
        <w:ind w:left="1795" w:hanging="440"/>
      </w:pPr>
    </w:lvl>
    <w:lvl w:ilvl="3" w:tplc="0409000F" w:tentative="1">
      <w:start w:val="1"/>
      <w:numFmt w:val="decimal"/>
      <w:lvlText w:val="%4."/>
      <w:lvlJc w:val="left"/>
      <w:pPr>
        <w:ind w:left="2235" w:hanging="440"/>
      </w:pPr>
    </w:lvl>
    <w:lvl w:ilvl="4" w:tplc="04090019" w:tentative="1">
      <w:start w:val="1"/>
      <w:numFmt w:val="lowerLetter"/>
      <w:lvlText w:val="%5)"/>
      <w:lvlJc w:val="left"/>
      <w:pPr>
        <w:ind w:left="2675" w:hanging="440"/>
      </w:pPr>
    </w:lvl>
    <w:lvl w:ilvl="5" w:tplc="0409001B" w:tentative="1">
      <w:start w:val="1"/>
      <w:numFmt w:val="lowerRoman"/>
      <w:lvlText w:val="%6."/>
      <w:lvlJc w:val="right"/>
      <w:pPr>
        <w:ind w:left="3115" w:hanging="440"/>
      </w:pPr>
    </w:lvl>
    <w:lvl w:ilvl="6" w:tplc="0409000F" w:tentative="1">
      <w:start w:val="1"/>
      <w:numFmt w:val="decimal"/>
      <w:lvlText w:val="%7."/>
      <w:lvlJc w:val="left"/>
      <w:pPr>
        <w:ind w:left="3555" w:hanging="440"/>
      </w:pPr>
    </w:lvl>
    <w:lvl w:ilvl="7" w:tplc="04090019" w:tentative="1">
      <w:start w:val="1"/>
      <w:numFmt w:val="lowerLetter"/>
      <w:lvlText w:val="%8)"/>
      <w:lvlJc w:val="left"/>
      <w:pPr>
        <w:ind w:left="3995" w:hanging="440"/>
      </w:pPr>
    </w:lvl>
    <w:lvl w:ilvl="8" w:tplc="0409001B" w:tentative="1">
      <w:start w:val="1"/>
      <w:numFmt w:val="lowerRoman"/>
      <w:lvlText w:val="%9."/>
      <w:lvlJc w:val="right"/>
      <w:pPr>
        <w:ind w:left="4435" w:hanging="440"/>
      </w:pPr>
    </w:lvl>
  </w:abstractNum>
  <w:abstractNum w:abstractNumId="30" w15:restartNumberingAfterBreak="0">
    <w:nsid w:val="6685568F"/>
    <w:multiLevelType w:val="multilevel"/>
    <w:tmpl w:val="D10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74C1A"/>
    <w:multiLevelType w:val="hybridMultilevel"/>
    <w:tmpl w:val="F16AFC00"/>
    <w:lvl w:ilvl="0" w:tplc="FFFFFFFF">
      <w:start w:val="1"/>
      <w:numFmt w:val="decimal"/>
      <w:lvlText w:val="（%1）"/>
      <w:lvlJc w:val="left"/>
      <w:pPr>
        <w:ind w:left="915" w:hanging="440"/>
      </w:pPr>
      <w:rPr>
        <w:rFonts w:hint="default"/>
      </w:rPr>
    </w:lvl>
    <w:lvl w:ilvl="1" w:tplc="FFFFFFFF" w:tentative="1">
      <w:start w:val="1"/>
      <w:numFmt w:val="lowerLetter"/>
      <w:lvlText w:val="%2)"/>
      <w:lvlJc w:val="left"/>
      <w:pPr>
        <w:ind w:left="1355" w:hanging="440"/>
      </w:pPr>
    </w:lvl>
    <w:lvl w:ilvl="2" w:tplc="FFFFFFFF" w:tentative="1">
      <w:start w:val="1"/>
      <w:numFmt w:val="lowerRoman"/>
      <w:lvlText w:val="%3."/>
      <w:lvlJc w:val="right"/>
      <w:pPr>
        <w:ind w:left="1795" w:hanging="440"/>
      </w:pPr>
    </w:lvl>
    <w:lvl w:ilvl="3" w:tplc="FFFFFFFF" w:tentative="1">
      <w:start w:val="1"/>
      <w:numFmt w:val="decimal"/>
      <w:lvlText w:val="%4."/>
      <w:lvlJc w:val="left"/>
      <w:pPr>
        <w:ind w:left="2235" w:hanging="440"/>
      </w:pPr>
    </w:lvl>
    <w:lvl w:ilvl="4" w:tplc="FFFFFFFF" w:tentative="1">
      <w:start w:val="1"/>
      <w:numFmt w:val="lowerLetter"/>
      <w:lvlText w:val="%5)"/>
      <w:lvlJc w:val="left"/>
      <w:pPr>
        <w:ind w:left="2675" w:hanging="440"/>
      </w:pPr>
    </w:lvl>
    <w:lvl w:ilvl="5" w:tplc="FFFFFFFF" w:tentative="1">
      <w:start w:val="1"/>
      <w:numFmt w:val="lowerRoman"/>
      <w:lvlText w:val="%6."/>
      <w:lvlJc w:val="right"/>
      <w:pPr>
        <w:ind w:left="3115" w:hanging="440"/>
      </w:pPr>
    </w:lvl>
    <w:lvl w:ilvl="6" w:tplc="FFFFFFFF" w:tentative="1">
      <w:start w:val="1"/>
      <w:numFmt w:val="decimal"/>
      <w:lvlText w:val="%7."/>
      <w:lvlJc w:val="left"/>
      <w:pPr>
        <w:ind w:left="3555" w:hanging="440"/>
      </w:pPr>
    </w:lvl>
    <w:lvl w:ilvl="7" w:tplc="FFFFFFFF" w:tentative="1">
      <w:start w:val="1"/>
      <w:numFmt w:val="lowerLetter"/>
      <w:lvlText w:val="%8)"/>
      <w:lvlJc w:val="left"/>
      <w:pPr>
        <w:ind w:left="3995" w:hanging="440"/>
      </w:pPr>
    </w:lvl>
    <w:lvl w:ilvl="8" w:tplc="FFFFFFFF" w:tentative="1">
      <w:start w:val="1"/>
      <w:numFmt w:val="lowerRoman"/>
      <w:lvlText w:val="%9."/>
      <w:lvlJc w:val="right"/>
      <w:pPr>
        <w:ind w:left="4435" w:hanging="440"/>
      </w:pPr>
    </w:lvl>
  </w:abstractNum>
  <w:abstractNum w:abstractNumId="32" w15:restartNumberingAfterBreak="0">
    <w:nsid w:val="71400511"/>
    <w:multiLevelType w:val="multilevel"/>
    <w:tmpl w:val="3B6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4633A"/>
    <w:multiLevelType w:val="multilevel"/>
    <w:tmpl w:val="F51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17B9A"/>
    <w:multiLevelType w:val="multilevel"/>
    <w:tmpl w:val="457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6221B"/>
    <w:multiLevelType w:val="hybridMultilevel"/>
    <w:tmpl w:val="3610739E"/>
    <w:lvl w:ilvl="0" w:tplc="FFFFFFFF">
      <w:start w:val="1"/>
      <w:numFmt w:val="decimal"/>
      <w:lvlText w:val="（%1）"/>
      <w:lvlJc w:val="left"/>
      <w:pPr>
        <w:ind w:left="915" w:hanging="440"/>
      </w:pPr>
      <w:rPr>
        <w:rFonts w:hint="default"/>
      </w:rPr>
    </w:lvl>
    <w:lvl w:ilvl="1" w:tplc="FFFFFFFF" w:tentative="1">
      <w:start w:val="1"/>
      <w:numFmt w:val="lowerLetter"/>
      <w:lvlText w:val="%2)"/>
      <w:lvlJc w:val="left"/>
      <w:pPr>
        <w:ind w:left="1355" w:hanging="440"/>
      </w:pPr>
    </w:lvl>
    <w:lvl w:ilvl="2" w:tplc="FFFFFFFF" w:tentative="1">
      <w:start w:val="1"/>
      <w:numFmt w:val="lowerRoman"/>
      <w:lvlText w:val="%3."/>
      <w:lvlJc w:val="right"/>
      <w:pPr>
        <w:ind w:left="1795" w:hanging="440"/>
      </w:pPr>
    </w:lvl>
    <w:lvl w:ilvl="3" w:tplc="FFFFFFFF" w:tentative="1">
      <w:start w:val="1"/>
      <w:numFmt w:val="decimal"/>
      <w:lvlText w:val="%4."/>
      <w:lvlJc w:val="left"/>
      <w:pPr>
        <w:ind w:left="2235" w:hanging="440"/>
      </w:pPr>
    </w:lvl>
    <w:lvl w:ilvl="4" w:tplc="FFFFFFFF" w:tentative="1">
      <w:start w:val="1"/>
      <w:numFmt w:val="lowerLetter"/>
      <w:lvlText w:val="%5)"/>
      <w:lvlJc w:val="left"/>
      <w:pPr>
        <w:ind w:left="2675" w:hanging="440"/>
      </w:pPr>
    </w:lvl>
    <w:lvl w:ilvl="5" w:tplc="FFFFFFFF" w:tentative="1">
      <w:start w:val="1"/>
      <w:numFmt w:val="lowerRoman"/>
      <w:lvlText w:val="%6."/>
      <w:lvlJc w:val="right"/>
      <w:pPr>
        <w:ind w:left="3115" w:hanging="440"/>
      </w:pPr>
    </w:lvl>
    <w:lvl w:ilvl="6" w:tplc="FFFFFFFF" w:tentative="1">
      <w:start w:val="1"/>
      <w:numFmt w:val="decimal"/>
      <w:lvlText w:val="%7."/>
      <w:lvlJc w:val="left"/>
      <w:pPr>
        <w:ind w:left="3555" w:hanging="440"/>
      </w:pPr>
    </w:lvl>
    <w:lvl w:ilvl="7" w:tplc="FFFFFFFF" w:tentative="1">
      <w:start w:val="1"/>
      <w:numFmt w:val="lowerLetter"/>
      <w:lvlText w:val="%8)"/>
      <w:lvlJc w:val="left"/>
      <w:pPr>
        <w:ind w:left="3995" w:hanging="440"/>
      </w:pPr>
    </w:lvl>
    <w:lvl w:ilvl="8" w:tplc="FFFFFFFF" w:tentative="1">
      <w:start w:val="1"/>
      <w:numFmt w:val="lowerRoman"/>
      <w:lvlText w:val="%9."/>
      <w:lvlJc w:val="right"/>
      <w:pPr>
        <w:ind w:left="4435" w:hanging="440"/>
      </w:pPr>
    </w:lvl>
  </w:abstractNum>
  <w:num w:numId="1" w16cid:durableId="918716020">
    <w:abstractNumId w:val="12"/>
  </w:num>
  <w:num w:numId="2" w16cid:durableId="13265811">
    <w:abstractNumId w:val="19"/>
  </w:num>
  <w:num w:numId="3" w16cid:durableId="1161118887">
    <w:abstractNumId w:val="34"/>
  </w:num>
  <w:num w:numId="4" w16cid:durableId="13920409">
    <w:abstractNumId w:val="32"/>
  </w:num>
  <w:num w:numId="5" w16cid:durableId="22437643">
    <w:abstractNumId w:val="25"/>
  </w:num>
  <w:num w:numId="6" w16cid:durableId="58751625">
    <w:abstractNumId w:val="6"/>
  </w:num>
  <w:num w:numId="7" w16cid:durableId="726680618">
    <w:abstractNumId w:val="33"/>
  </w:num>
  <w:num w:numId="8" w16cid:durableId="1417289424">
    <w:abstractNumId w:val="7"/>
  </w:num>
  <w:num w:numId="9" w16cid:durableId="1358039276">
    <w:abstractNumId w:val="28"/>
  </w:num>
  <w:num w:numId="10" w16cid:durableId="1840999301">
    <w:abstractNumId w:val="16"/>
  </w:num>
  <w:num w:numId="11" w16cid:durableId="607856143">
    <w:abstractNumId w:val="18"/>
  </w:num>
  <w:num w:numId="12" w16cid:durableId="1364399902">
    <w:abstractNumId w:val="2"/>
  </w:num>
  <w:num w:numId="13" w16cid:durableId="277880760">
    <w:abstractNumId w:val="4"/>
  </w:num>
  <w:num w:numId="14" w16cid:durableId="210730959">
    <w:abstractNumId w:val="9"/>
  </w:num>
  <w:num w:numId="15" w16cid:durableId="1953781410">
    <w:abstractNumId w:val="30"/>
  </w:num>
  <w:num w:numId="16" w16cid:durableId="983778111">
    <w:abstractNumId w:val="20"/>
  </w:num>
  <w:num w:numId="17" w16cid:durableId="2018383754">
    <w:abstractNumId w:val="13"/>
  </w:num>
  <w:num w:numId="18" w16cid:durableId="814301093">
    <w:abstractNumId w:val="10"/>
  </w:num>
  <w:num w:numId="19" w16cid:durableId="1582183239">
    <w:abstractNumId w:val="21"/>
  </w:num>
  <w:num w:numId="20" w16cid:durableId="1709914946">
    <w:abstractNumId w:val="14"/>
  </w:num>
  <w:num w:numId="21" w16cid:durableId="633605114">
    <w:abstractNumId w:val="17"/>
  </w:num>
  <w:num w:numId="22" w16cid:durableId="388263924">
    <w:abstractNumId w:val="1"/>
  </w:num>
  <w:num w:numId="23" w16cid:durableId="1888105671">
    <w:abstractNumId w:val="27"/>
  </w:num>
  <w:num w:numId="24" w16cid:durableId="723455419">
    <w:abstractNumId w:val="29"/>
  </w:num>
  <w:num w:numId="25" w16cid:durableId="535897506">
    <w:abstractNumId w:val="5"/>
  </w:num>
  <w:num w:numId="26" w16cid:durableId="1983074499">
    <w:abstractNumId w:val="11"/>
  </w:num>
  <w:num w:numId="27" w16cid:durableId="393893315">
    <w:abstractNumId w:val="8"/>
  </w:num>
  <w:num w:numId="28" w16cid:durableId="784269339">
    <w:abstractNumId w:val="15"/>
  </w:num>
  <w:num w:numId="29" w16cid:durableId="1678464380">
    <w:abstractNumId w:val="22"/>
  </w:num>
  <w:num w:numId="30" w16cid:durableId="1289974629">
    <w:abstractNumId w:val="23"/>
  </w:num>
  <w:num w:numId="31" w16cid:durableId="1994524983">
    <w:abstractNumId w:val="3"/>
  </w:num>
  <w:num w:numId="32" w16cid:durableId="746994576">
    <w:abstractNumId w:val="24"/>
  </w:num>
  <w:num w:numId="33" w16cid:durableId="1410931681">
    <w:abstractNumId w:val="31"/>
  </w:num>
  <w:num w:numId="34" w16cid:durableId="776867905">
    <w:abstractNumId w:val="35"/>
  </w:num>
  <w:num w:numId="35" w16cid:durableId="1307780241">
    <w:abstractNumId w:val="26"/>
  </w:num>
  <w:num w:numId="36" w16cid:durableId="112593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39"/>
    <w:rsid w:val="0004549A"/>
    <w:rsid w:val="001243EE"/>
    <w:rsid w:val="00172A1D"/>
    <w:rsid w:val="002144FE"/>
    <w:rsid w:val="00295218"/>
    <w:rsid w:val="00363E61"/>
    <w:rsid w:val="00385FA7"/>
    <w:rsid w:val="003B3106"/>
    <w:rsid w:val="0049104C"/>
    <w:rsid w:val="004A3667"/>
    <w:rsid w:val="00574909"/>
    <w:rsid w:val="00595C79"/>
    <w:rsid w:val="00597141"/>
    <w:rsid w:val="006A119E"/>
    <w:rsid w:val="006A4139"/>
    <w:rsid w:val="006B1D93"/>
    <w:rsid w:val="006B3482"/>
    <w:rsid w:val="00707863"/>
    <w:rsid w:val="0071394E"/>
    <w:rsid w:val="00761374"/>
    <w:rsid w:val="009B2DE0"/>
    <w:rsid w:val="009C1B6E"/>
    <w:rsid w:val="009E213A"/>
    <w:rsid w:val="00A3174C"/>
    <w:rsid w:val="00A76BBA"/>
    <w:rsid w:val="00AB4B78"/>
    <w:rsid w:val="00AC2E37"/>
    <w:rsid w:val="00B135A5"/>
    <w:rsid w:val="00B61B15"/>
    <w:rsid w:val="00D1385C"/>
    <w:rsid w:val="00E06D9F"/>
    <w:rsid w:val="00E55D75"/>
    <w:rsid w:val="00EC200C"/>
    <w:rsid w:val="00EF6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718E"/>
  <w15:chartTrackingRefBased/>
  <w15:docId w15:val="{BD992D69-E6DB-4C8F-9487-00C0B1F11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6A4139"/>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unhideWhenUsed/>
    <w:qFormat/>
    <w:rsid w:val="006A4139"/>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unhideWhenUsed/>
    <w:qFormat/>
    <w:rsid w:val="006A4139"/>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rsid w:val="006A4139"/>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rsid w:val="006A4139"/>
    <w:pPr>
      <w:keepNext/>
      <w:keepLines/>
      <w:spacing w:before="80" w:after="40"/>
      <w:outlineLvl w:val="4"/>
    </w:pPr>
    <w:rPr>
      <w:color w:val="0F4761"/>
      <w:sz w:val="24"/>
      <w:szCs w:val="24"/>
    </w:rPr>
  </w:style>
  <w:style w:type="paragraph" w:styleId="6">
    <w:name w:val="heading 6"/>
    <w:basedOn w:val="a"/>
    <w:next w:val="a"/>
    <w:link w:val="60"/>
    <w:uiPriority w:val="9"/>
    <w:semiHidden/>
    <w:unhideWhenUsed/>
    <w:qFormat/>
    <w:rsid w:val="006A4139"/>
    <w:pPr>
      <w:keepNext/>
      <w:keepLines/>
      <w:spacing w:before="40"/>
      <w:outlineLvl w:val="5"/>
    </w:pPr>
    <w:rPr>
      <w:b/>
      <w:bCs/>
      <w:color w:val="0F4761"/>
    </w:rPr>
  </w:style>
  <w:style w:type="paragraph" w:styleId="7">
    <w:name w:val="heading 7"/>
    <w:basedOn w:val="a"/>
    <w:next w:val="a"/>
    <w:link w:val="70"/>
    <w:uiPriority w:val="9"/>
    <w:semiHidden/>
    <w:unhideWhenUsed/>
    <w:qFormat/>
    <w:rsid w:val="006A4139"/>
    <w:pPr>
      <w:keepNext/>
      <w:keepLines/>
      <w:spacing w:before="40"/>
      <w:outlineLvl w:val="6"/>
    </w:pPr>
    <w:rPr>
      <w:b/>
      <w:bCs/>
      <w:color w:val="595959"/>
    </w:rPr>
  </w:style>
  <w:style w:type="paragraph" w:styleId="8">
    <w:name w:val="heading 8"/>
    <w:basedOn w:val="a"/>
    <w:next w:val="a"/>
    <w:link w:val="80"/>
    <w:uiPriority w:val="9"/>
    <w:semiHidden/>
    <w:unhideWhenUsed/>
    <w:qFormat/>
    <w:rsid w:val="006A4139"/>
    <w:pPr>
      <w:keepNext/>
      <w:keepLines/>
      <w:outlineLvl w:val="7"/>
    </w:pPr>
    <w:rPr>
      <w:color w:val="595959"/>
    </w:rPr>
  </w:style>
  <w:style w:type="paragraph" w:styleId="9">
    <w:name w:val="heading 9"/>
    <w:basedOn w:val="a"/>
    <w:next w:val="a"/>
    <w:link w:val="90"/>
    <w:uiPriority w:val="9"/>
    <w:semiHidden/>
    <w:unhideWhenUsed/>
    <w:qFormat/>
    <w:rsid w:val="006A4139"/>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6A4139"/>
    <w:rPr>
      <w:rFonts w:ascii="等线 Light" w:eastAsia="等线 Light" w:hAnsi="等线 Light" w:cs="Times New Roman"/>
      <w:color w:val="0F4761"/>
      <w:sz w:val="48"/>
      <w:szCs w:val="48"/>
    </w:rPr>
  </w:style>
  <w:style w:type="character" w:customStyle="1" w:styleId="20">
    <w:name w:val="标题 2 字符"/>
    <w:link w:val="2"/>
    <w:uiPriority w:val="9"/>
    <w:rsid w:val="006A4139"/>
    <w:rPr>
      <w:rFonts w:ascii="等线 Light" w:eastAsia="等线 Light" w:hAnsi="等线 Light" w:cs="Times New Roman"/>
      <w:color w:val="0F4761"/>
      <w:sz w:val="40"/>
      <w:szCs w:val="40"/>
    </w:rPr>
  </w:style>
  <w:style w:type="character" w:customStyle="1" w:styleId="30">
    <w:name w:val="标题 3 字符"/>
    <w:link w:val="3"/>
    <w:uiPriority w:val="9"/>
    <w:rsid w:val="006A4139"/>
    <w:rPr>
      <w:rFonts w:ascii="等线 Light" w:eastAsia="等线 Light" w:hAnsi="等线 Light" w:cs="Times New Roman"/>
      <w:color w:val="0F4761"/>
      <w:sz w:val="32"/>
      <w:szCs w:val="32"/>
    </w:rPr>
  </w:style>
  <w:style w:type="character" w:customStyle="1" w:styleId="40">
    <w:name w:val="标题 4 字符"/>
    <w:link w:val="4"/>
    <w:uiPriority w:val="9"/>
    <w:semiHidden/>
    <w:rsid w:val="006A4139"/>
    <w:rPr>
      <w:rFonts w:cs="Times New Roman"/>
      <w:color w:val="0F4761"/>
      <w:sz w:val="28"/>
      <w:szCs w:val="28"/>
    </w:rPr>
  </w:style>
  <w:style w:type="character" w:customStyle="1" w:styleId="50">
    <w:name w:val="标题 5 字符"/>
    <w:link w:val="5"/>
    <w:uiPriority w:val="9"/>
    <w:semiHidden/>
    <w:rsid w:val="006A4139"/>
    <w:rPr>
      <w:rFonts w:cs="Times New Roman"/>
      <w:color w:val="0F4761"/>
      <w:sz w:val="24"/>
      <w:szCs w:val="24"/>
    </w:rPr>
  </w:style>
  <w:style w:type="character" w:customStyle="1" w:styleId="60">
    <w:name w:val="标题 6 字符"/>
    <w:link w:val="6"/>
    <w:uiPriority w:val="9"/>
    <w:semiHidden/>
    <w:rsid w:val="006A4139"/>
    <w:rPr>
      <w:rFonts w:cs="Times New Roman"/>
      <w:b/>
      <w:bCs/>
      <w:color w:val="0F4761"/>
    </w:rPr>
  </w:style>
  <w:style w:type="character" w:customStyle="1" w:styleId="70">
    <w:name w:val="标题 7 字符"/>
    <w:link w:val="7"/>
    <w:uiPriority w:val="9"/>
    <w:semiHidden/>
    <w:rsid w:val="006A4139"/>
    <w:rPr>
      <w:rFonts w:cs="Times New Roman"/>
      <w:b/>
      <w:bCs/>
      <w:color w:val="595959"/>
    </w:rPr>
  </w:style>
  <w:style w:type="character" w:customStyle="1" w:styleId="80">
    <w:name w:val="标题 8 字符"/>
    <w:link w:val="8"/>
    <w:uiPriority w:val="9"/>
    <w:semiHidden/>
    <w:rsid w:val="006A4139"/>
    <w:rPr>
      <w:rFonts w:cs="Times New Roman"/>
      <w:color w:val="595959"/>
    </w:rPr>
  </w:style>
  <w:style w:type="character" w:customStyle="1" w:styleId="90">
    <w:name w:val="标题 9 字符"/>
    <w:link w:val="9"/>
    <w:uiPriority w:val="9"/>
    <w:semiHidden/>
    <w:rsid w:val="006A4139"/>
    <w:rPr>
      <w:rFonts w:eastAsia="等线 Light" w:cs="Times New Roman"/>
      <w:color w:val="595959"/>
    </w:rPr>
  </w:style>
  <w:style w:type="paragraph" w:styleId="a3">
    <w:name w:val="Title"/>
    <w:basedOn w:val="a"/>
    <w:next w:val="a"/>
    <w:link w:val="a4"/>
    <w:uiPriority w:val="10"/>
    <w:qFormat/>
    <w:rsid w:val="006A4139"/>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6A4139"/>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6A4139"/>
    <w:pPr>
      <w:numPr>
        <w:ilvl w:val="1"/>
      </w:numPr>
      <w:spacing w:after="160"/>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6A4139"/>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6A4139"/>
    <w:pPr>
      <w:spacing w:before="160" w:after="160"/>
      <w:jc w:val="center"/>
    </w:pPr>
    <w:rPr>
      <w:i/>
      <w:iCs/>
      <w:color w:val="404040"/>
    </w:rPr>
  </w:style>
  <w:style w:type="character" w:customStyle="1" w:styleId="a8">
    <w:name w:val="引用 字符"/>
    <w:link w:val="a7"/>
    <w:uiPriority w:val="29"/>
    <w:rsid w:val="006A4139"/>
    <w:rPr>
      <w:i/>
      <w:iCs/>
      <w:color w:val="404040"/>
    </w:rPr>
  </w:style>
  <w:style w:type="paragraph" w:styleId="a9">
    <w:name w:val="List Paragraph"/>
    <w:basedOn w:val="a"/>
    <w:uiPriority w:val="34"/>
    <w:qFormat/>
    <w:rsid w:val="006A4139"/>
    <w:pPr>
      <w:ind w:left="720"/>
      <w:contextualSpacing/>
    </w:pPr>
  </w:style>
  <w:style w:type="character" w:styleId="aa">
    <w:name w:val="Intense Emphasis"/>
    <w:uiPriority w:val="21"/>
    <w:qFormat/>
    <w:rsid w:val="006A4139"/>
    <w:rPr>
      <w:i/>
      <w:iCs/>
      <w:color w:val="0F4761"/>
    </w:rPr>
  </w:style>
  <w:style w:type="paragraph" w:styleId="ab">
    <w:name w:val="Intense Quote"/>
    <w:basedOn w:val="a"/>
    <w:next w:val="a"/>
    <w:link w:val="ac"/>
    <w:uiPriority w:val="30"/>
    <w:qFormat/>
    <w:rsid w:val="006A4139"/>
    <w:pPr>
      <w:pBdr>
        <w:top w:val="single" w:sz="4" w:space="10" w:color="0F4761"/>
        <w:bottom w:val="single" w:sz="4" w:space="10" w:color="0F4761"/>
      </w:pBdr>
      <w:spacing w:before="360" w:after="360"/>
      <w:ind w:left="864" w:right="864"/>
      <w:jc w:val="center"/>
    </w:pPr>
    <w:rPr>
      <w:i/>
      <w:iCs/>
      <w:color w:val="0F4761"/>
    </w:rPr>
  </w:style>
  <w:style w:type="character" w:customStyle="1" w:styleId="ac">
    <w:name w:val="明显引用 字符"/>
    <w:link w:val="ab"/>
    <w:uiPriority w:val="30"/>
    <w:rsid w:val="006A4139"/>
    <w:rPr>
      <w:i/>
      <w:iCs/>
      <w:color w:val="0F4761"/>
    </w:rPr>
  </w:style>
  <w:style w:type="character" w:styleId="ad">
    <w:name w:val="Intense Reference"/>
    <w:uiPriority w:val="32"/>
    <w:qFormat/>
    <w:rsid w:val="006A4139"/>
    <w:rPr>
      <w:b/>
      <w:bCs/>
      <w:smallCaps/>
      <w:color w:val="0F4761"/>
      <w:spacing w:val="5"/>
    </w:rPr>
  </w:style>
  <w:style w:type="character" w:styleId="ae">
    <w:name w:val="Hyperlink"/>
    <w:uiPriority w:val="99"/>
    <w:unhideWhenUsed/>
    <w:rsid w:val="00597141"/>
    <w:rPr>
      <w:color w:val="467886"/>
      <w:u w:val="single"/>
    </w:rPr>
  </w:style>
  <w:style w:type="character" w:styleId="af">
    <w:name w:val="Unresolved Mention"/>
    <w:uiPriority w:val="99"/>
    <w:semiHidden/>
    <w:unhideWhenUsed/>
    <w:rsid w:val="00597141"/>
    <w:rPr>
      <w:color w:val="605E5C"/>
      <w:shd w:val="clear" w:color="auto" w:fill="E1DFDD"/>
    </w:rPr>
  </w:style>
  <w:style w:type="paragraph" w:styleId="af0">
    <w:name w:val="header"/>
    <w:basedOn w:val="a"/>
    <w:link w:val="af1"/>
    <w:uiPriority w:val="99"/>
    <w:unhideWhenUsed/>
    <w:rsid w:val="00707863"/>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07863"/>
    <w:rPr>
      <w:kern w:val="2"/>
      <w:sz w:val="18"/>
      <w:szCs w:val="18"/>
    </w:rPr>
  </w:style>
  <w:style w:type="paragraph" w:styleId="af2">
    <w:name w:val="footer"/>
    <w:basedOn w:val="a"/>
    <w:link w:val="af3"/>
    <w:uiPriority w:val="99"/>
    <w:unhideWhenUsed/>
    <w:rsid w:val="00707863"/>
    <w:pPr>
      <w:tabs>
        <w:tab w:val="center" w:pos="4153"/>
        <w:tab w:val="right" w:pos="8306"/>
      </w:tabs>
      <w:snapToGrid w:val="0"/>
      <w:jc w:val="left"/>
    </w:pPr>
    <w:rPr>
      <w:sz w:val="18"/>
      <w:szCs w:val="18"/>
    </w:rPr>
  </w:style>
  <w:style w:type="character" w:customStyle="1" w:styleId="af3">
    <w:name w:val="页脚 字符"/>
    <w:basedOn w:val="a0"/>
    <w:link w:val="af2"/>
    <w:uiPriority w:val="99"/>
    <w:rsid w:val="00707863"/>
    <w:rPr>
      <w:kern w:val="2"/>
      <w:sz w:val="18"/>
      <w:szCs w:val="18"/>
    </w:rPr>
  </w:style>
  <w:style w:type="character" w:styleId="af4">
    <w:name w:val="Placeholder Text"/>
    <w:basedOn w:val="a0"/>
    <w:uiPriority w:val="99"/>
    <w:semiHidden/>
    <w:rsid w:val="0004549A"/>
    <w:rPr>
      <w:color w:val="666666"/>
    </w:rPr>
  </w:style>
  <w:style w:type="character" w:customStyle="1" w:styleId="MTEquationSection">
    <w:name w:val="MTEquationSection"/>
    <w:basedOn w:val="a0"/>
    <w:rsid w:val="0004549A"/>
    <w:rPr>
      <w:rFonts w:ascii="Times New Roman" w:eastAsia="Times New Roman" w:hAnsi="Times New Roman"/>
      <w:b/>
      <w:vanish/>
      <w:color w:val="FF0000"/>
      <w:kern w:val="0"/>
      <w:sz w:val="31"/>
      <w:lang w:eastAsia="en-US"/>
    </w:rPr>
  </w:style>
  <w:style w:type="paragraph" w:customStyle="1" w:styleId="MTDisplayEquation">
    <w:name w:val="MTDisplayEquation"/>
    <w:basedOn w:val="a"/>
    <w:next w:val="a"/>
    <w:link w:val="MTDisplayEquation0"/>
    <w:rsid w:val="0004549A"/>
    <w:pPr>
      <w:tabs>
        <w:tab w:val="center" w:pos="4160"/>
        <w:tab w:val="right" w:pos="8300"/>
      </w:tabs>
      <w:autoSpaceDE w:val="0"/>
      <w:autoSpaceDN w:val="0"/>
      <w:spacing w:line="360" w:lineRule="auto"/>
      <w:ind w:firstLineChars="200" w:firstLine="475"/>
    </w:pPr>
    <w:rPr>
      <w:rFonts w:ascii="Times New Roman" w:eastAsia="宋体" w:hAnsi="Times New Roman"/>
      <w:spacing w:val="-4"/>
      <w:w w:val="103"/>
      <w:kern w:val="0"/>
      <w:sz w:val="24"/>
      <w:szCs w:val="24"/>
    </w:rPr>
  </w:style>
  <w:style w:type="character" w:customStyle="1" w:styleId="MTDisplayEquation0">
    <w:name w:val="MTDisplayEquation 字符"/>
    <w:basedOn w:val="a0"/>
    <w:link w:val="MTDisplayEquation"/>
    <w:rsid w:val="0004549A"/>
    <w:rPr>
      <w:rFonts w:ascii="Times New Roman" w:eastAsia="宋体" w:hAnsi="Times New Roman"/>
      <w:spacing w:val="-4"/>
      <w:w w:val="103"/>
      <w:sz w:val="24"/>
      <w:szCs w:val="24"/>
    </w:rPr>
  </w:style>
  <w:style w:type="character" w:styleId="af5">
    <w:name w:val="annotation reference"/>
    <w:basedOn w:val="a0"/>
    <w:uiPriority w:val="99"/>
    <w:semiHidden/>
    <w:unhideWhenUsed/>
    <w:rsid w:val="00A76BBA"/>
    <w:rPr>
      <w:sz w:val="21"/>
      <w:szCs w:val="21"/>
    </w:rPr>
  </w:style>
  <w:style w:type="paragraph" w:styleId="af6">
    <w:name w:val="annotation text"/>
    <w:basedOn w:val="a"/>
    <w:link w:val="af7"/>
    <w:uiPriority w:val="99"/>
    <w:semiHidden/>
    <w:unhideWhenUsed/>
    <w:rsid w:val="00A76BBA"/>
    <w:pPr>
      <w:jc w:val="left"/>
    </w:pPr>
  </w:style>
  <w:style w:type="character" w:customStyle="1" w:styleId="af7">
    <w:name w:val="批注文字 字符"/>
    <w:basedOn w:val="a0"/>
    <w:link w:val="af6"/>
    <w:uiPriority w:val="99"/>
    <w:semiHidden/>
    <w:rsid w:val="00A76BBA"/>
    <w:rPr>
      <w:kern w:val="2"/>
      <w:sz w:val="21"/>
      <w:szCs w:val="22"/>
    </w:rPr>
  </w:style>
  <w:style w:type="paragraph" w:styleId="af8">
    <w:name w:val="annotation subject"/>
    <w:basedOn w:val="af6"/>
    <w:next w:val="af6"/>
    <w:link w:val="af9"/>
    <w:uiPriority w:val="99"/>
    <w:semiHidden/>
    <w:unhideWhenUsed/>
    <w:rsid w:val="00A76BBA"/>
    <w:rPr>
      <w:b/>
      <w:bCs/>
    </w:rPr>
  </w:style>
  <w:style w:type="character" w:customStyle="1" w:styleId="af9">
    <w:name w:val="批注主题 字符"/>
    <w:basedOn w:val="af7"/>
    <w:link w:val="af8"/>
    <w:uiPriority w:val="99"/>
    <w:semiHidden/>
    <w:rsid w:val="00A76BBA"/>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A0CEE-9D3B-42FD-AFB7-DFBAB88E8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2457</Words>
  <Characters>14007</Characters>
  <Application>Microsoft Office Word</Application>
  <DocSecurity>0</DocSecurity>
  <Lines>116</Lines>
  <Paragraphs>32</Paragraphs>
  <ScaleCrop>false</ScaleCrop>
  <Company/>
  <LinksUpToDate>false</LinksUpToDate>
  <CharactersWithSpaces>16432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Transformer架构演进及高效序列建模方法综述</dc:title>
  <dc:subject>智能算法理论及应用课程文献综述</dc:subject>
  <dc:creator>春阳 李</dc:creator>
  <cp:keywords/>
  <dc:description/>
  <cp:lastModifiedBy>春阳 李</cp:lastModifiedBy>
  <cp:revision>5</cp:revision>
  <cp:lastPrinted>2025-12-24T09:55:00Z</cp:lastPrinted>
  <dcterms:created xsi:type="dcterms:W3CDTF">2025-12-24T09:47:00Z</dcterms:created>
  <dcterms:modified xsi:type="dcterms:W3CDTF">2025-12-24T09:55:00Z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