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D48113">
      <w:pPr>
        <w:snapToGrid w:val="0"/>
        <w:spacing w:line="288" w:lineRule="auto"/>
        <w:jc w:val="center"/>
        <w:rPr>
          <w:rFonts w:eastAsia="黑体" w:cs="Times New Roman"/>
          <w:sz w:val="52"/>
          <w:szCs w:val="52"/>
        </w:rPr>
      </w:pPr>
      <w:bookmarkStart w:id="0" w:name="_Hlk39255771"/>
      <w:bookmarkEnd w:id="0"/>
      <w:r>
        <w:rPr>
          <w:rFonts w:cs="Times New Roman"/>
          <w:szCs w:val="20"/>
        </w:rPr>
        <w:drawing>
          <wp:inline distT="0" distB="0" distL="0" distR="0">
            <wp:extent cx="3721100" cy="1042035"/>
            <wp:effectExtent l="0" t="0" r="0" b="0"/>
            <wp:docPr id="13" name="图片 13" descr="C:\Users\Administrator\AppData\Local\Temp\ksohtml\wpsE681.tm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C:\Users\Administrator\AppData\Local\Temp\ksohtml\wpsE681.tmp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104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7A0C2">
      <w:pPr>
        <w:snapToGrid w:val="0"/>
        <w:spacing w:line="288" w:lineRule="auto"/>
        <w:jc w:val="center"/>
        <w:rPr>
          <w:rFonts w:eastAsia="黑体" w:cs="Times New Roman"/>
          <w:sz w:val="52"/>
          <w:szCs w:val="52"/>
        </w:rPr>
      </w:pPr>
      <w:r>
        <w:rPr>
          <w:rFonts w:eastAsia="黑体" w:cs="Times New Roman"/>
          <w:sz w:val="52"/>
          <w:szCs w:val="52"/>
        </w:rPr>
        <w:t xml:space="preserve"> </w:t>
      </w:r>
    </w:p>
    <w:p w14:paraId="69475732">
      <w:pPr>
        <w:snapToGrid w:val="0"/>
        <w:spacing w:line="288" w:lineRule="auto"/>
        <w:jc w:val="center"/>
        <w:rPr>
          <w:rFonts w:eastAsia="黑体" w:cs="Times New Roman"/>
          <w:b/>
          <w:bCs/>
          <w:szCs w:val="21"/>
        </w:rPr>
      </w:pPr>
      <w:r>
        <w:rPr>
          <w:rFonts w:hint="eastAsia" w:hAnsi="黑体" w:eastAsia="黑体" w:cs="Times New Roman"/>
          <w:b/>
          <w:bCs/>
          <w:sz w:val="52"/>
          <w:szCs w:val="52"/>
        </w:rPr>
        <w:t>《程序设计实验》</w:t>
      </w:r>
      <w:r>
        <w:rPr>
          <w:rFonts w:hint="eastAsia" w:hAnsi="黑体" w:eastAsia="黑体" w:cs="Times New Roman"/>
          <w:b/>
          <w:bCs/>
          <w:sz w:val="52"/>
          <w:szCs w:val="52"/>
          <w:lang w:val="en-US" w:eastAsia="zh-CN"/>
        </w:rPr>
        <w:t>需求分析文档</w:t>
      </w:r>
    </w:p>
    <w:p w14:paraId="66503DC7">
      <w:pPr>
        <w:snapToGrid w:val="0"/>
        <w:spacing w:line="288" w:lineRule="auto"/>
        <w:jc w:val="center"/>
        <w:rPr>
          <w:rFonts w:cs="Times New Roman"/>
          <w:sz w:val="52"/>
          <w:szCs w:val="52"/>
        </w:rPr>
      </w:pPr>
      <w:r>
        <w:rPr>
          <w:rFonts w:cs="Times New Roman"/>
          <w:szCs w:val="2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1976120</wp:posOffset>
            </wp:positionH>
            <wp:positionV relativeFrom="paragraph">
              <wp:posOffset>699770</wp:posOffset>
            </wp:positionV>
            <wp:extent cx="1747520" cy="1747520"/>
            <wp:effectExtent l="0" t="0" r="5080" b="5080"/>
            <wp:wrapTopAndBottom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7520" cy="174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cs="Times New Roman"/>
          <w:sz w:val="52"/>
          <w:szCs w:val="52"/>
        </w:rPr>
        <w:t xml:space="preserve"> </w:t>
      </w:r>
    </w:p>
    <w:p w14:paraId="4591237B">
      <w:pPr>
        <w:snapToGrid w:val="0"/>
        <w:spacing w:line="288" w:lineRule="auto"/>
        <w:jc w:val="center"/>
        <w:rPr>
          <w:rFonts w:cs="Times New Roman"/>
          <w:sz w:val="52"/>
          <w:szCs w:val="52"/>
        </w:rPr>
      </w:pPr>
      <w:r>
        <w:rPr>
          <w:rFonts w:cs="Times New Roman"/>
          <w:sz w:val="52"/>
          <w:szCs w:val="52"/>
        </w:rPr>
        <w:t xml:space="preserve"> </w:t>
      </w:r>
    </w:p>
    <w:p w14:paraId="4EC2EA61">
      <w:pPr>
        <w:snapToGrid w:val="0"/>
        <w:spacing w:line="288" w:lineRule="auto"/>
        <w:ind w:left="-718" w:leftChars="-342" w:firstLine="2644" w:firstLineChars="823"/>
        <w:rPr>
          <w:rFonts w:eastAsia="黑体" w:cs="Times New Roman"/>
          <w:b/>
          <w:bCs/>
          <w:sz w:val="32"/>
          <w:szCs w:val="32"/>
          <w:u w:val="thick"/>
        </w:rPr>
      </w:pPr>
      <w:r>
        <w:rPr>
          <w:rFonts w:hAnsi="黑体" w:eastAsia="黑体" w:cs="Times New Roman"/>
          <w:b/>
          <w:bCs/>
          <w:sz w:val="32"/>
          <w:szCs w:val="32"/>
        </w:rPr>
        <w:t>题目</w:t>
      </w:r>
      <w:r>
        <w:rPr>
          <w:rFonts w:eastAsia="黑体" w:cs="Times New Roman"/>
          <w:b/>
          <w:bCs/>
          <w:sz w:val="32"/>
          <w:szCs w:val="32"/>
        </w:rPr>
        <w:t xml:space="preserve">: </w:t>
      </w:r>
      <w:r>
        <w:rPr>
          <w:rFonts w:eastAsia="黑体" w:cs="Times New Roman"/>
          <w:b/>
          <w:bCs/>
          <w:sz w:val="32"/>
          <w:szCs w:val="32"/>
          <w:u w:val="thick"/>
        </w:rPr>
        <w:t>NoteBuddy</w:t>
      </w:r>
      <w:r>
        <w:rPr>
          <w:rFonts w:hint="eastAsia" w:eastAsia="黑体" w:cs="Times New Roman"/>
          <w:b/>
          <w:bCs/>
          <w:sz w:val="32"/>
          <w:szCs w:val="32"/>
          <w:u w:val="thick"/>
        </w:rPr>
        <w:t xml:space="preserve"> </w:t>
      </w:r>
      <w:r>
        <w:rPr>
          <w:rFonts w:eastAsia="黑体" w:cs="Times New Roman"/>
          <w:b/>
          <w:bCs/>
          <w:sz w:val="32"/>
          <w:szCs w:val="32"/>
          <w:u w:val="thick"/>
        </w:rPr>
        <w:t xml:space="preserve"> </w:t>
      </w:r>
      <w:r>
        <w:rPr>
          <w:rFonts w:hint="eastAsia" w:eastAsia="黑体" w:cs="Times New Roman"/>
          <w:b/>
          <w:bCs/>
          <w:sz w:val="32"/>
          <w:szCs w:val="32"/>
          <w:u w:val="thick"/>
          <w:lang w:val="en-US" w:eastAsia="zh-CN"/>
        </w:rPr>
        <w:t xml:space="preserve"> </w:t>
      </w:r>
      <w:r>
        <w:rPr>
          <w:rFonts w:eastAsia="黑体" w:cs="Times New Roman"/>
          <w:b/>
          <w:bCs/>
          <w:sz w:val="32"/>
          <w:szCs w:val="32"/>
          <w:u w:val="thick"/>
        </w:rPr>
        <w:t xml:space="preserve"> </w:t>
      </w:r>
    </w:p>
    <w:p w14:paraId="6F6D4028">
      <w:pPr>
        <w:snapToGrid w:val="0"/>
        <w:spacing w:line="288" w:lineRule="auto"/>
        <w:rPr>
          <w:rFonts w:cs="Times New Roman"/>
          <w:b/>
          <w:bCs/>
          <w:sz w:val="32"/>
          <w:szCs w:val="3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2D962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10DC9FC">
            <w:pPr>
              <w:snapToGrid w:val="0"/>
              <w:spacing w:line="288" w:lineRule="auto"/>
              <w:rPr>
                <w:rFonts w:hint="eastAsia" w:hAnsi="宋体" w:eastAsia="宋体" w:cs="Times New Roman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hAnsi="宋体" w:cs="Times New Roman"/>
                <w:b/>
                <w:bCs/>
                <w:sz w:val="32"/>
                <w:szCs w:val="32"/>
                <w:vertAlign w:val="baseline"/>
                <w:lang w:val="en-US" w:eastAsia="zh-CN"/>
              </w:rPr>
              <w:t>班级</w:t>
            </w:r>
          </w:p>
        </w:tc>
        <w:tc>
          <w:tcPr>
            <w:tcW w:w="2841" w:type="dxa"/>
          </w:tcPr>
          <w:p w14:paraId="3BF8FBEA">
            <w:pPr>
              <w:snapToGrid w:val="0"/>
              <w:spacing w:line="288" w:lineRule="auto"/>
              <w:rPr>
                <w:rFonts w:hint="eastAsia" w:hAnsi="宋体" w:eastAsia="宋体" w:cs="Times New Roman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hAnsi="宋体" w:cs="Times New Roman"/>
                <w:b/>
                <w:bCs/>
                <w:sz w:val="32"/>
                <w:szCs w:val="32"/>
                <w:vertAlign w:val="baseline"/>
                <w:lang w:val="en-US" w:eastAsia="zh-CN"/>
              </w:rPr>
              <w:t>姓名</w:t>
            </w:r>
          </w:p>
        </w:tc>
        <w:tc>
          <w:tcPr>
            <w:tcW w:w="2841" w:type="dxa"/>
          </w:tcPr>
          <w:p w14:paraId="6F40C691">
            <w:pPr>
              <w:snapToGrid w:val="0"/>
              <w:spacing w:line="288" w:lineRule="auto"/>
              <w:rPr>
                <w:rFonts w:hint="eastAsia" w:hAnsi="宋体" w:eastAsia="宋体" w:cs="Times New Roman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hAnsi="宋体" w:cs="Times New Roman"/>
                <w:b/>
                <w:bCs/>
                <w:sz w:val="32"/>
                <w:szCs w:val="32"/>
                <w:vertAlign w:val="baseline"/>
                <w:lang w:val="en-US" w:eastAsia="zh-CN"/>
              </w:rPr>
              <w:t>学号</w:t>
            </w:r>
          </w:p>
        </w:tc>
      </w:tr>
      <w:tr w14:paraId="0EB16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BB8FF99">
            <w:pPr>
              <w:snapToGrid w:val="0"/>
              <w:spacing w:line="288" w:lineRule="auto"/>
              <w:rPr>
                <w:rFonts w:hint="default" w:hAnsi="宋体" w:eastAsia="宋体" w:cs="Times New Roman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hAnsi="宋体" w:cs="Times New Roman"/>
                <w:b/>
                <w:bCs/>
                <w:sz w:val="32"/>
                <w:szCs w:val="32"/>
                <w:vertAlign w:val="baseline"/>
                <w:lang w:val="en-US" w:eastAsia="zh-CN"/>
              </w:rPr>
              <w:t>2025219108</w:t>
            </w:r>
          </w:p>
        </w:tc>
        <w:tc>
          <w:tcPr>
            <w:tcW w:w="2841" w:type="dxa"/>
          </w:tcPr>
          <w:p w14:paraId="70AC3BE3">
            <w:pPr>
              <w:snapToGrid w:val="0"/>
              <w:spacing w:line="288" w:lineRule="auto"/>
              <w:rPr>
                <w:rFonts w:hint="eastAsia" w:hAnsi="宋体" w:eastAsia="宋体" w:cs="Times New Roman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hAnsi="宋体" w:cs="Times New Roman"/>
                <w:b/>
                <w:bCs/>
                <w:sz w:val="32"/>
                <w:szCs w:val="32"/>
                <w:vertAlign w:val="baseline"/>
                <w:lang w:val="en-US" w:eastAsia="zh-CN"/>
              </w:rPr>
              <w:t>马文喆</w:t>
            </w:r>
          </w:p>
        </w:tc>
        <w:tc>
          <w:tcPr>
            <w:tcW w:w="2841" w:type="dxa"/>
          </w:tcPr>
          <w:p w14:paraId="360E31B6">
            <w:pPr>
              <w:snapToGrid w:val="0"/>
              <w:spacing w:line="288" w:lineRule="auto"/>
              <w:rPr>
                <w:rFonts w:hint="default" w:hAnsi="宋体" w:eastAsia="宋体" w:cs="Times New Roman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hAnsi="宋体" w:cs="Times New Roman"/>
                <w:b/>
                <w:bCs/>
                <w:sz w:val="32"/>
                <w:szCs w:val="32"/>
                <w:vertAlign w:val="baseline"/>
                <w:lang w:val="en-US" w:eastAsia="zh-CN"/>
              </w:rPr>
              <w:t>2025212200</w:t>
            </w:r>
          </w:p>
        </w:tc>
      </w:tr>
      <w:tr w14:paraId="2E750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CCE4C76">
            <w:pPr>
              <w:snapToGrid w:val="0"/>
              <w:spacing w:line="288" w:lineRule="auto"/>
              <w:rPr>
                <w:rFonts w:hint="default" w:hAnsi="宋体" w:eastAsia="宋体" w:cs="Times New Roman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hAnsi="宋体" w:cs="Times New Roman"/>
                <w:b/>
                <w:bCs/>
                <w:sz w:val="32"/>
                <w:szCs w:val="32"/>
                <w:vertAlign w:val="baseline"/>
                <w:lang w:val="en-US" w:eastAsia="zh-CN"/>
              </w:rPr>
              <w:t>2025219107</w:t>
            </w:r>
          </w:p>
        </w:tc>
        <w:tc>
          <w:tcPr>
            <w:tcW w:w="2841" w:type="dxa"/>
          </w:tcPr>
          <w:p w14:paraId="3D62E3EE">
            <w:pPr>
              <w:snapToGrid w:val="0"/>
              <w:spacing w:line="288" w:lineRule="auto"/>
              <w:rPr>
                <w:rFonts w:hAnsi="宋体" w:cs="Times New Roman"/>
                <w:b/>
                <w:bCs/>
                <w:sz w:val="32"/>
                <w:szCs w:val="32"/>
                <w:vertAlign w:val="baseline"/>
              </w:rPr>
            </w:pPr>
            <w:r>
              <w:rPr>
                <w:rFonts w:hint="eastAsia" w:hAnsi="宋体" w:cs="Times New Roman"/>
                <w:b/>
                <w:bCs/>
                <w:sz w:val="32"/>
                <w:szCs w:val="32"/>
                <w:vertAlign w:val="baseline"/>
              </w:rPr>
              <w:t>陶俊铭</w:t>
            </w:r>
          </w:p>
        </w:tc>
        <w:tc>
          <w:tcPr>
            <w:tcW w:w="2841" w:type="dxa"/>
          </w:tcPr>
          <w:p w14:paraId="54527B72">
            <w:pPr>
              <w:snapToGrid w:val="0"/>
              <w:spacing w:line="288" w:lineRule="auto"/>
              <w:rPr>
                <w:rFonts w:hAnsi="宋体" w:cs="Times New Roman"/>
                <w:b/>
                <w:bCs/>
                <w:sz w:val="32"/>
                <w:szCs w:val="32"/>
                <w:vertAlign w:val="baseline"/>
              </w:rPr>
            </w:pPr>
            <w:r>
              <w:rPr>
                <w:rFonts w:hint="eastAsia" w:hAnsi="宋体" w:cs="Times New Roman"/>
                <w:b/>
                <w:bCs/>
                <w:sz w:val="32"/>
                <w:szCs w:val="32"/>
                <w:vertAlign w:val="baseline"/>
              </w:rPr>
              <w:t>2025212192</w:t>
            </w:r>
          </w:p>
        </w:tc>
      </w:tr>
      <w:tr w14:paraId="350A3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59014DA">
            <w:pPr>
              <w:snapToGrid w:val="0"/>
              <w:spacing w:line="288" w:lineRule="auto"/>
              <w:rPr>
                <w:rFonts w:hint="default" w:hAnsi="宋体" w:eastAsia="宋体" w:cs="Times New Roman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hAnsi="宋体" w:cs="Times New Roman"/>
                <w:b/>
                <w:bCs/>
                <w:sz w:val="32"/>
                <w:szCs w:val="32"/>
                <w:vertAlign w:val="baseline"/>
                <w:lang w:val="en-US" w:eastAsia="zh-CN"/>
              </w:rPr>
              <w:t>2025219107</w:t>
            </w:r>
          </w:p>
        </w:tc>
        <w:tc>
          <w:tcPr>
            <w:tcW w:w="2841" w:type="dxa"/>
          </w:tcPr>
          <w:p w14:paraId="314A7740">
            <w:pPr>
              <w:snapToGrid w:val="0"/>
              <w:spacing w:line="288" w:lineRule="auto"/>
              <w:rPr>
                <w:rFonts w:hAnsi="宋体" w:cs="Times New Roman"/>
                <w:b/>
                <w:bCs/>
                <w:sz w:val="32"/>
                <w:szCs w:val="32"/>
                <w:vertAlign w:val="baseline"/>
              </w:rPr>
            </w:pPr>
            <w:r>
              <w:rPr>
                <w:rFonts w:hint="eastAsia" w:hAnsi="宋体" w:cs="Times New Roman"/>
                <w:b/>
                <w:bCs/>
                <w:sz w:val="32"/>
                <w:szCs w:val="32"/>
                <w:vertAlign w:val="baseline"/>
              </w:rPr>
              <w:t>王金赛</w:t>
            </w:r>
          </w:p>
        </w:tc>
        <w:tc>
          <w:tcPr>
            <w:tcW w:w="2841" w:type="dxa"/>
          </w:tcPr>
          <w:p w14:paraId="5CF50124">
            <w:pPr>
              <w:snapToGrid w:val="0"/>
              <w:spacing w:line="288" w:lineRule="auto"/>
              <w:rPr>
                <w:rFonts w:hAnsi="宋体" w:cs="Times New Roman"/>
                <w:b/>
                <w:bCs/>
                <w:sz w:val="32"/>
                <w:szCs w:val="32"/>
                <w:vertAlign w:val="baseline"/>
              </w:rPr>
            </w:pPr>
            <w:r>
              <w:rPr>
                <w:rFonts w:hint="eastAsia" w:hAnsi="宋体" w:cs="Times New Roman"/>
                <w:b/>
                <w:bCs/>
                <w:sz w:val="32"/>
                <w:szCs w:val="32"/>
                <w:vertAlign w:val="baseline"/>
              </w:rPr>
              <w:t>2025211955</w:t>
            </w:r>
          </w:p>
        </w:tc>
      </w:tr>
    </w:tbl>
    <w:p w14:paraId="2EBC45D7">
      <w:pPr>
        <w:snapToGrid w:val="0"/>
        <w:spacing w:line="288" w:lineRule="auto"/>
        <w:ind w:left="1872" w:firstLine="1908" w:firstLineChars="594"/>
        <w:rPr>
          <w:rFonts w:hAnsi="宋体" w:cs="Times New Roman"/>
          <w:b/>
          <w:bCs/>
          <w:sz w:val="32"/>
          <w:szCs w:val="32"/>
        </w:rPr>
      </w:pPr>
    </w:p>
    <w:p w14:paraId="450D023B">
      <w:pPr>
        <w:snapToGrid w:val="0"/>
        <w:spacing w:line="288" w:lineRule="auto"/>
        <w:ind w:firstLine="1911" w:firstLineChars="595"/>
        <w:rPr>
          <w:rFonts w:hint="default" w:eastAsia="宋体" w:cs="Times New Roman"/>
          <w:b/>
          <w:bCs/>
          <w:szCs w:val="21"/>
          <w:lang w:val="en-US" w:eastAsia="zh-CN"/>
        </w:rPr>
      </w:pPr>
      <w:r>
        <w:rPr>
          <w:rFonts w:hAnsi="宋体" w:cs="Times New Roman"/>
          <w:b/>
          <w:bCs/>
          <w:sz w:val="32"/>
          <w:szCs w:val="32"/>
        </w:rPr>
        <w:t>指导教师</w:t>
      </w:r>
      <w:r>
        <w:rPr>
          <w:rFonts w:cs="Times New Roman"/>
          <w:b/>
          <w:bCs/>
          <w:sz w:val="32"/>
          <w:szCs w:val="32"/>
        </w:rPr>
        <w:tab/>
      </w:r>
      <w:r>
        <w:rPr>
          <w:rFonts w:cs="Times New Roman"/>
          <w:b/>
          <w:bCs/>
          <w:sz w:val="32"/>
          <w:szCs w:val="32"/>
        </w:rPr>
        <w:tab/>
      </w:r>
      <w:bookmarkStart w:id="1" w:name="_GoBack"/>
      <w:bookmarkEnd w:id="1"/>
      <w:r>
        <w:rPr>
          <w:rFonts w:hint="eastAsia" w:cs="Times New Roman"/>
          <w:b/>
          <w:bCs/>
          <w:sz w:val="32"/>
          <w:szCs w:val="32"/>
          <w:lang w:val="en-US" w:eastAsia="zh-CN"/>
        </w:rPr>
        <w:t>许晨</w:t>
      </w:r>
    </w:p>
    <w:p w14:paraId="3812D4C9">
      <w:pPr>
        <w:snapToGrid w:val="0"/>
        <w:spacing w:line="288" w:lineRule="auto"/>
        <w:rPr>
          <w:rFonts w:cs="Times New Roman"/>
          <w:b/>
          <w:bCs/>
          <w:sz w:val="32"/>
          <w:szCs w:val="32"/>
          <w:u w:val="single"/>
        </w:rPr>
      </w:pPr>
    </w:p>
    <w:p w14:paraId="71841B93">
      <w:pPr>
        <w:snapToGrid w:val="0"/>
        <w:spacing w:line="288" w:lineRule="auto"/>
        <w:rPr>
          <w:rFonts w:cs="Times New Roman"/>
          <w:b/>
          <w:bCs/>
          <w:szCs w:val="21"/>
        </w:rPr>
      </w:pPr>
    </w:p>
    <w:p w14:paraId="179B4D97">
      <w:pPr>
        <w:snapToGrid w:val="0"/>
        <w:spacing w:line="288" w:lineRule="auto"/>
        <w:jc w:val="center"/>
        <w:rPr>
          <w:rFonts w:cs="Times New Roman"/>
          <w:szCs w:val="20"/>
        </w:rPr>
      </w:pPr>
      <w:r>
        <w:rPr>
          <w:rFonts w:hint="eastAsia" w:hAnsi="宋体" w:cs="Times New Roman"/>
          <w:b/>
          <w:bCs/>
          <w:sz w:val="32"/>
          <w:szCs w:val="32"/>
        </w:rPr>
        <w:t>202</w:t>
      </w:r>
      <w:r>
        <w:rPr>
          <w:rFonts w:hint="eastAsia" w:hAnsi="宋体" w:cs="Times New Roman"/>
          <w:b/>
          <w:bCs/>
          <w:sz w:val="32"/>
          <w:szCs w:val="32"/>
          <w:lang w:val="en-US" w:eastAsia="zh-CN"/>
        </w:rPr>
        <w:t>6</w:t>
      </w:r>
      <w:r>
        <w:rPr>
          <w:rFonts w:hAnsi="宋体" w:cs="Times New Roman"/>
          <w:b/>
          <w:bCs/>
          <w:sz w:val="32"/>
          <w:szCs w:val="32"/>
        </w:rPr>
        <w:t xml:space="preserve"> 年</w:t>
      </w:r>
      <w:r>
        <w:rPr>
          <w:rFonts w:cs="Times New Roman"/>
          <w:b/>
          <w:bCs/>
          <w:sz w:val="32"/>
          <w:szCs w:val="32"/>
        </w:rPr>
        <w:t xml:space="preserve"> </w:t>
      </w:r>
      <w:r>
        <w:rPr>
          <w:rFonts w:hint="eastAsia" w:cs="Times New Roman"/>
          <w:b/>
          <w:bCs/>
          <w:sz w:val="32"/>
          <w:szCs w:val="32"/>
          <w:lang w:val="en-US" w:eastAsia="zh-CN"/>
        </w:rPr>
        <w:t>10</w:t>
      </w:r>
      <w:r>
        <w:rPr>
          <w:rFonts w:cs="Times New Roman"/>
          <w:b/>
          <w:bCs/>
          <w:sz w:val="32"/>
          <w:szCs w:val="32"/>
        </w:rPr>
        <w:t xml:space="preserve"> </w:t>
      </w:r>
      <w:r>
        <w:rPr>
          <w:rFonts w:hAnsi="宋体" w:cs="Times New Roman"/>
          <w:b/>
          <w:bCs/>
          <w:sz w:val="32"/>
          <w:szCs w:val="32"/>
        </w:rPr>
        <w:t>月</w:t>
      </w:r>
    </w:p>
    <w:p w14:paraId="304DF0B0">
      <w:pPr>
        <w:pStyle w:val="2"/>
        <w:keepNext/>
      </w:pPr>
      <w:r>
        <w:rPr>
          <w:sz w:val="28"/>
        </w:rPr>
        <w:t>1</w:t>
      </w:r>
      <w:r>
        <w:rPr>
          <w:rFonts w:hint="eastAsia"/>
          <w:sz w:val="28"/>
        </w:rPr>
        <w:t>、任务概述</w:t>
      </w:r>
    </w:p>
    <w:p w14:paraId="46BBC45D">
      <w:pPr>
        <w:keepNext/>
        <w:spacing w:line="360" w:lineRule="auto"/>
        <w:rPr>
          <w:b/>
          <w:sz w:val="22"/>
        </w:rPr>
      </w:pPr>
      <w:r>
        <w:rPr>
          <w:rFonts w:hint="eastAsia"/>
          <w:b/>
          <w:sz w:val="22"/>
        </w:rPr>
        <w:t>1.1、目标</w:t>
      </w:r>
    </w:p>
    <w:p w14:paraId="5DCD8253">
      <w:pPr>
        <w:ind w:firstLine="420"/>
      </w:pPr>
      <w:r>
        <w:rPr>
          <w:rFonts w:hint="eastAsia"/>
        </w:rPr>
        <w:t>NoteBuddy 是面向大学生的课程学习辅助工具，以本地网页应用作为大学程序设计作业的交付成果。用户按课程上传 PPTX、PDF 和 Word 资料，系统提炼重点、标注并解释理解难点，形成能够整本阅读的课程笔记，并以可交互的知识树组织笔记入口和知识联系。应用内桌宠结合课程资料与阅读上下文提供自由答疑。最终汇报需要同时体现实际学习价值、知识树的艺术设计与交互效果，以及 AI 参与学习流程的技术含量。</w:t>
      </w:r>
    </w:p>
    <w:p w14:paraId="083CC566">
      <w:pPr>
        <w:ind w:firstLine="420"/>
      </w:pPr>
      <w:r>
        <w:rPr>
          <w:rFonts w:hint="eastAsia"/>
        </w:rPr>
        <w:t>（1）整理课程资料。以原课件的讲次与内容顺序为主要依据组织笔记，使学生能够按上课进度阅读、编辑和复习整本课程笔记。笔记选择性收录有学习价值的内容，不要求每页课件都生成笔记。</w:t>
      </w:r>
    </w:p>
    <w:p w14:paraId="29B324F5">
      <w:pPr>
        <w:ind w:firstLine="420"/>
      </w:pPr>
      <w:r>
        <w:rPr>
          <w:rFonts w:hint="eastAsia"/>
        </w:rPr>
        <w:t>（2）帮助理解核心知识。正式笔记提炼概念、结论、重点和必要的方法，对理解难点进行显式标注，并给出围绕当前知识的解释、例子或步骤。发展历史等与当前核心知识无关的扩展不进入正式笔记，也不作为首期必做内容。</w:t>
      </w:r>
    </w:p>
    <w:p w14:paraId="33C7BE4E">
      <w:pPr>
        <w:ind w:firstLine="420"/>
      </w:pPr>
      <w:r>
        <w:rPr>
          <w:rFonts w:hint="eastAsia"/>
        </w:rPr>
        <w:t>（3）通过知识树表达联系。点击叶子直接进入对应笔记页；知识点之间的强关联由节点连线体现。同一知识点在不同讲次出现时，保留各自的叶子和笔记位置，并建立跨讲联系，不把各讲内容强制合并成一篇独立笔记。新资料上传后，知识树在已有结构上继续更新。</w:t>
      </w:r>
    </w:p>
    <w:p w14:paraId="2FA9927A">
      <w:pPr>
        <w:ind w:firstLine="420"/>
      </w:pPr>
      <w:r>
        <w:rPr>
          <w:rFonts w:hint="eastAsia"/>
        </w:rPr>
        <w:t>（4）支持检查与补充。提供逐页覆盖总览，展示原资料页面是否已被笔记收录。未收录表示供用户检查，不等同于系统错误或内容遗漏。用户认为某页重要时，可选中页面让 AI 补生成笔记，并同步更新笔记本、知识树和覆盖状态。</w:t>
      </w:r>
    </w:p>
    <w:p w14:paraId="7C8D0148">
      <w:pPr>
        <w:ind w:firstLine="420"/>
      </w:pPr>
      <w:r>
        <w:rPr>
          <w:rFonts w:hint="eastAsia"/>
        </w:rPr>
        <w:t>（5）将 AI 融入课程学习。AI 参与资料理解、重点选择、难点解释、知识关系分析、指定页补生成与课程上下文答疑。系统应保存可追溯的结构化结果，将生成内容与课程、课件页面、笔记和知识节点关联；通过上下文检索、结果校验和增量更新使这些能力共同服务学习流程。</w:t>
      </w:r>
    </w:p>
    <w:p w14:paraId="236B1586">
      <w:pPr>
        <w:ind w:firstLine="420"/>
      </w:pPr>
      <w:r>
        <w:rPr>
          <w:rFonts w:hint="eastAsia"/>
        </w:rPr>
        <w:t>产品是独立运行的本地应用，由浏览器界面、本地业务服务、资料解析与 AI 处理模块、本地存储组成；大语言模型服务是通过 API 接入的外部依赖。本地业务服务负责检索、上下文组装、任务编排和数据一致性。首期不要求部署上线，也不建设账号体系、教师端或多用户协作。</w:t>
      </w:r>
    </w:p>
    <w:p w14:paraId="7F02D333">
      <w:pPr>
        <w:keepNext/>
        <w:spacing w:line="360" w:lineRule="auto"/>
        <w:rPr>
          <w:b/>
        </w:rPr>
      </w:pPr>
      <w:r>
        <w:rPr>
          <w:rFonts w:hint="eastAsia"/>
          <w:b/>
        </w:rPr>
        <w:t xml:space="preserve">1.2、系统（或用户）的特点  </w:t>
      </w:r>
    </w:p>
    <w:p w14:paraId="1D68DD46">
      <w:pPr>
        <w:ind w:firstLine="420"/>
      </w:pPr>
      <w:r>
        <w:rPr>
          <w:rFonts w:hint="eastAsia"/>
        </w:rPr>
        <w:t>目标用户是使用电子课件学习的大学生，常按周或讲次接收资料，在日常学习和考前复习时需要找重点、理解难点和串联知识。预期使用方式是随课程进度持续上传资料，按需阅读整本笔记、查看知识树、检查覆盖状态并向桌宠追问；实际频度以试用情况为准。</w:t>
      </w:r>
    </w:p>
    <w:p w14:paraId="041A2B4D">
      <w:pPr>
        <w:ind w:firstLine="420"/>
      </w:pPr>
      <w:r>
        <w:rPr>
          <w:rFonts w:hint="eastAsia"/>
        </w:rPr>
        <w:t>每门课程对应书架中的一本课程笔记。笔记以课件顺序为主，知识树提供另一种定位和关联浏览方式；二者访问同一份笔记内容，编辑后保持一致。同一知识点可以拥有多个讲次的叶子，节点之间通过关系连线表现重复出现、进一步讲解、前置依赖或其他较强联系。</w:t>
      </w:r>
    </w:p>
    <w:p w14:paraId="73761ED8">
      <w:pPr>
        <w:ind w:firstLine="420"/>
      </w:pPr>
      <w:r>
        <w:rPr>
          <w:rFonts w:hint="eastAsia"/>
        </w:rPr>
        <w:t>帮助理解是贯穿笔记生成和答疑的全局功能。系统根据资料内容和学科特点选择解释方式，但不要求每份笔记输出固定的背景、历史或应用章节。桌宠既可回答当前课程问题，也可回答课件外的问题；使用课程依据时显示出处，通用补充与课件内容明确区分。</w:t>
      </w:r>
    </w:p>
    <w:p w14:paraId="6484CD40">
      <w:pPr>
        <w:ind w:firstLine="420"/>
      </w:pPr>
      <w:r>
        <w:rPr>
          <w:rFonts w:hint="eastAsia"/>
        </w:rPr>
        <w:t>知识树是首要艺术设计点，当前方向偏向艺术化思维导图。具体布局、配色、节点形象和动效在后续专项设计中确定。书架、笔记本和桌宠应形成一致的学习体验。项目首期没有需要兼容的旧版本，运行数据需要在关闭应用后保留。</w:t>
      </w:r>
    </w:p>
    <w:p w14:paraId="075432D9">
      <w:pPr>
        <w:keepNext/>
        <w:spacing w:line="360" w:lineRule="auto"/>
        <w:rPr>
          <w:b/>
        </w:rPr>
      </w:pPr>
      <w:r>
        <w:rPr>
          <w:b/>
        </w:rPr>
        <w:t>1.3</w:t>
      </w:r>
      <w:r>
        <w:rPr>
          <w:rFonts w:hint="eastAsia"/>
          <w:b/>
        </w:rPr>
        <w:t xml:space="preserve">、假定和约束 </w:t>
      </w:r>
    </w:p>
    <w:p w14:paraId="4C05EDF0">
      <w:pPr>
        <w:ind w:firstLine="420"/>
      </w:pPr>
      <w:r>
        <w:rPr>
          <w:rFonts w:hint="eastAsia"/>
        </w:rPr>
        <w:t>开发团队为 3 人，计划周期约 2 个月，期间还需兼顾其他任务。开发方式为 AI 辅助编程（Vibe Coding）。课程没有指定技术栈，但交付必须具有技术含量和可展示的效果；团队需理解生成代码、验证关键流程并能够解释主要技术设计。</w:t>
      </w:r>
    </w:p>
    <w:p w14:paraId="4E2CD941">
      <w:pPr>
        <w:ind w:firstLine="420"/>
      </w:pPr>
      <w:r>
        <w:rPr>
          <w:rFonts w:hint="eastAsia"/>
        </w:rPr>
        <w:t>首期限定为单用户本地网页应用，在一台电脑启动，通过现代浏览器使用；资料、笔记、知识树和对话保存在本机，AI 请求需要网络。外部服务费用、调用限制和可用性由实际供应商决定；模型、解析工具及其他组件的选型尚需技术验证。</w:t>
      </w:r>
    </w:p>
    <w:p w14:paraId="4427D72D">
      <w:pPr>
        <w:ind w:firstLine="420"/>
      </w:pPr>
      <w:r>
        <w:rPr>
          <w:rFonts w:hint="eastAsia"/>
        </w:rPr>
        <w:t>资料范围为 PPTX、PDF 和 Word 文档，Word 首期解析目标为 DOCX；旧版 .ppt、.doc 的直接支持或转换方案另行验证，不在未测试前宣称兼容。文档页面定位应在一次导入中保持稳定，Word 需确定统一的分页或预览方案。公式、图片、表格和扫描件解析质量须用真实课程样本验证。</w:t>
      </w:r>
    </w:p>
    <w:p w14:paraId="5F4CE713">
      <w:pPr>
        <w:ind w:firstLine="420"/>
      </w:pPr>
      <w:r>
        <w:rPr>
          <w:rFonts w:hint="eastAsia"/>
        </w:rPr>
        <w:t>首期核心范围包含课程书架、三类资料上传解析、重点与难点笔记、整本阅读与编辑、知识树及跨讲联系、覆盖总览、选页 AI 补生成、桌宠自由答疑和本地持久化。具体美术后续设计；测验、闪卡、播客、音视频转写、跨课程森林、全局桌面挂件、在线部署、多用户体系和桌宠回答中的知识点跳转不纳入首期必做范围。联网搜索不是首期核心流程的前提。</w:t>
      </w:r>
    </w:p>
    <w:p w14:paraId="1D0951DC">
      <w:pPr>
        <w:pStyle w:val="2"/>
        <w:keepNext/>
      </w:pPr>
      <w:r>
        <w:rPr>
          <w:sz w:val="28"/>
        </w:rPr>
        <w:t>2</w:t>
      </w:r>
      <w:r>
        <w:rPr>
          <w:rFonts w:hint="eastAsia"/>
          <w:sz w:val="28"/>
        </w:rPr>
        <w:t>、需求规定</w:t>
      </w:r>
      <w:r>
        <w:rPr>
          <w:rFonts w:hint="eastAsia"/>
        </w:rPr>
        <w:t xml:space="preserve">  </w:t>
      </w:r>
    </w:p>
    <w:p w14:paraId="49D732A9">
      <w:pPr>
        <w:keepNext/>
        <w:spacing w:line="360" w:lineRule="auto"/>
        <w:rPr>
          <w:b/>
        </w:rPr>
      </w:pPr>
      <w:r>
        <w:rPr>
          <w:b/>
        </w:rPr>
        <w:t>2</w:t>
      </w:r>
      <w:r>
        <w:rPr>
          <w:rFonts w:hint="eastAsia"/>
          <w:b/>
        </w:rPr>
        <w:t xml:space="preserve">.1、软件功能说明  </w:t>
      </w:r>
    </w:p>
    <w:p w14:paraId="45015AB4">
      <w:pPr>
        <w:ind w:firstLine="420"/>
      </w:pPr>
      <w:r>
        <w:rPr>
          <w:rFonts w:hint="eastAsia"/>
        </w:rPr>
        <w:t>下列功能构成首期交付范围。每项功能应明确用户输入、处理结果和可观察反馈，完整走通“建课—上传—生成—阅读—查漏补充—答疑—继续上传”的流程。</w:t>
      </w:r>
    </w:p>
    <w:p w14:paraId="0848356A">
      <w:pPr>
        <w:ind w:firstLine="420"/>
      </w:pPr>
      <w:r>
        <w:rPr>
          <w:rFonts w:hint="eastAsia"/>
        </w:rPr>
        <w:t>（1）课程书架与资料管理。输入课程名称、可选说明和课程操作；系统创建课程记录，在书架显示课程入口，支持进入课程及管理所属资料；输出课程书架和课程资料列表。资料与笔记、知识树、覆盖状态均归属于课程；删除操作须提示影响并确认。</w:t>
      </w:r>
    </w:p>
    <w:p w14:paraId="0E522A38">
      <w:pPr>
        <w:ind w:firstLine="420"/>
      </w:pPr>
      <w:r>
        <w:rPr>
          <w:rFonts w:hint="eastAsia"/>
        </w:rPr>
        <w:t>（2）资料上传与解析。输入课程、讲次名称及 PPTX、PDF 或 DOCX 文件；系统校验类型、大小和可读取性，保存原文件，提取正文、标题、页面、必要格式信号及可识别的公式、表格、代码或图片内容；输出具有稳定来源定位的解析结果、阶段状态和识别告警。讲次名称可取文件名并允许修改，资料按课程和讲次组织。</w:t>
      </w:r>
    </w:p>
    <w:p w14:paraId="7690578D">
      <w:pPr>
        <w:ind w:firstLine="420"/>
      </w:pPr>
      <w:r>
        <w:rPr>
          <w:rFonts w:hint="eastAsia"/>
        </w:rPr>
        <w:t>（3）重点提炼与难点解释。输入课件解析结果和课程上下文；AI 综合页面内容、标题层级、加粗等可取得的结构信号筛选重点，将核心内容整理为笔记页或片段，标注可能影响理解的难点并解释；输出按课件内容顺序组织的笔记及来源关系。必要的定义、推导、方法、例子、公式或代码按内容选择；非核心发展历史等扩展不自动加入正文。无法识别的原始内容应标示，不编造缺失公式。</w:t>
      </w:r>
    </w:p>
    <w:p w14:paraId="1343815F">
      <w:pPr>
        <w:ind w:firstLine="420"/>
      </w:pPr>
      <w:r>
        <w:rPr>
          <w:rFonts w:hint="eastAsia"/>
        </w:rPr>
        <w:t>（4）课程笔记本。输入打开、目录定位、连续阅读和编辑操作；系统按讲次及课件顺序组织同一门课的笔记，让用户既能整本阅读，也能定位某一知识点页面；输出可持久保存的课程笔记。用户编辑不得被再次生成或新资料处理静默覆盖；补生成须新增内容或提供明确的替换确认，保留原有编辑版本。</w:t>
      </w:r>
    </w:p>
    <w:p w14:paraId="0C5626DB">
      <w:pPr>
        <w:ind w:firstLine="420"/>
      </w:pPr>
      <w:r>
        <w:rPr>
          <w:rFonts w:hint="eastAsia"/>
        </w:rPr>
        <w:t>（5）知识树与关系更新。输入笔记页、知识点、课程结构和已有节点；系统生成层级组织及较强的知识关系，叶子绑定稳定的笔记页或位置，支持展开、收起及点击叶子进入笔记。新增课件时保留既有叶子、笔记入口和用户编辑，只增加或调整有依据的节点与关系。同一知识点在不同讲次保留多个叶子，用连线体现联系；关系应有可查看的类型或说明，避免名称相似就错误关联。输出可交互的课程知识树及新增内容提示。</w:t>
      </w:r>
    </w:p>
    <w:p w14:paraId="7243B8AB">
      <w:pPr>
        <w:ind w:firstLine="420"/>
      </w:pPr>
      <w:r>
        <w:rPr>
          <w:rFonts w:hint="eastAsia"/>
        </w:rPr>
        <w:t>（6）逐页覆盖总览。输入某份资料和笔记来源映射；系统按页展示原资料，区分已收录、未收录以及解析失败等必要状态，可查看页面关联的笔记；输出用户可检查的逐页状态。覆盖表示该页存在已保存笔记的来源关联，不保证该页所有信息都已完整记录；未收录不强制触发补生成。总览必须使用真实解析页和来源数据。</w:t>
      </w:r>
    </w:p>
    <w:p w14:paraId="5927BA77">
      <w:pPr>
        <w:ind w:firstLine="420"/>
      </w:pPr>
      <w:r>
        <w:rPr>
          <w:rFonts w:hint="eastAsia"/>
        </w:rPr>
        <w:t>（7）选页补生成。输入用户选择的一个或多个未收录页面；系统基于指定页面重新提炼重点和解释难点，将新笔记插入对应讲次的合适位置，创建相应叶子并分析与已有节点的联系；输出新增笔记、树更新与覆盖状态变化。只有内容及来源保存成功后才更新为已收录；重复提交不得无意产生重复笔记。</w:t>
      </w:r>
    </w:p>
    <w:p w14:paraId="5CB783E5">
      <w:pPr>
        <w:ind w:firstLine="420"/>
      </w:pPr>
      <w:r>
        <w:rPr>
          <w:rFonts w:hint="eastAsia"/>
        </w:rPr>
        <w:t>（8）应用内答疑桌宠。输入用户问题、当前课程、正在阅读的笔记和连续对话；系统先检索本课程相关课件与笔记，结合当前页面和追问上下文组织回答，按问题选择适当的难点解释或步骤。资料不足时仍可给出通用回答，并区分课程依据与课外补充；输出在侧栏展示的连续对话和可用出处。桌宠默认收起，点击后展开，可与笔记并排使用。不要求在回答中生成知识点跳转入口，也不承担测验、闪卡或笔记整理操作。</w:t>
      </w:r>
    </w:p>
    <w:p w14:paraId="3D1DDF33">
      <w:pPr>
        <w:ind w:firstLine="420"/>
      </w:pPr>
      <w:r>
        <w:rPr>
          <w:rFonts w:hint="eastAsia"/>
        </w:rPr>
        <w:t>（9）AI 处理与本地配置。输入受保护的模型端点、模型名称、密钥和任务参数；系统通过本地服务调用模型，并完成课程过滤检索、上下文组装、结构化生成结果校验、来源与节点标识校验、持久化和失败处理。笔记、关系和对话均有独立的数据输出与任务状态，不把模型自由文本直接作为已验证的业务数据。输出配置可用状态和用户可理解的执行结果；密钥不得进入浏览器资源或日志。</w:t>
      </w:r>
    </w:p>
    <w:p w14:paraId="1E132812">
      <w:pPr>
        <w:ind w:firstLine="420"/>
      </w:pPr>
      <w:r>
        <w:rPr>
          <w:rFonts w:hint="eastAsia"/>
        </w:rPr>
        <w:t>首期容量按 1 个本地用户、1 台终端、1 个浏览器操作会话规划；至少能处理 1 个资料任务，其他任务排队并显示状态。验收资料至少包含一门课程的连续两讲，以及 PPTX、PDF、DOCX 各一份真实样本，以验证完整流程和跨讲关联。课程数量、单文件大小、页数、节点规模及任务并发上限在样本验证后确定并公开显示，不将未经验证的估计作为既定容量承诺。</w:t>
      </w:r>
    </w:p>
    <w:p w14:paraId="307058C7">
      <w:pPr>
        <w:keepNext/>
        <w:spacing w:line="360" w:lineRule="auto"/>
        <w:rPr>
          <w:b/>
        </w:rPr>
      </w:pPr>
      <w:r>
        <w:rPr>
          <w:b/>
        </w:rPr>
        <w:t>2</w:t>
      </w:r>
      <w:r>
        <w:rPr>
          <w:rFonts w:hint="eastAsia"/>
          <w:b/>
        </w:rPr>
        <w:t xml:space="preserve">.2、对功能的一般性规定 </w:t>
      </w:r>
    </w:p>
    <w:p w14:paraId="62E248AC">
      <w:pPr>
        <w:ind w:firstLine="420"/>
      </w:pPr>
      <w:r>
        <w:rPr>
          <w:rFonts w:hint="eastAsia"/>
        </w:rPr>
        <w:t>课程、讲次、资料页、笔记页和知识节点使用一致名称及稳定标识。所有入口读取同一份笔记数据，目录、树叶、来源定位和覆盖总览不得因更新出现不一致。知识树的跨讲联系不得改变笔记本以课件顺序为主的组织方式。</w:t>
      </w:r>
    </w:p>
    <w:p w14:paraId="36C49562">
      <w:pPr>
        <w:ind w:firstLine="420"/>
      </w:pPr>
      <w:r>
        <w:rPr>
          <w:rFonts w:hint="eastAsia"/>
        </w:rPr>
        <w:t>上传、解析、生成和补生成均显示排队中、处理中、完成、失败等状态，并提供阶段提示、失败原因和可执行的重试操作。只有数据成功保存后才能显示完成，界面刷新或应用重启后不得永久停留在无法解释的处理中状态。</w:t>
      </w:r>
    </w:p>
    <w:p w14:paraId="7AA97B02">
      <w:pPr>
        <w:ind w:firstLine="420"/>
      </w:pPr>
      <w:r>
        <w:rPr>
          <w:rFonts w:hint="eastAsia"/>
        </w:rPr>
        <w:t>笔记重点与难点解释应易于区分，来源显示资料名称、讲次和页码或稳定定位。用户修改优先；重新处理资料必须避免静默覆盖。删除资料时应说明其笔记、叶子、引用和用户编辑的处理方式，保留仍被其他资料引用的内容。</w:t>
      </w:r>
    </w:p>
    <w:p w14:paraId="24630571">
      <w:pPr>
        <w:ind w:firstLine="420"/>
      </w:pPr>
      <w:r>
        <w:rPr>
          <w:rFonts w:hint="eastAsia"/>
        </w:rPr>
        <w:t>界面提供首次使用引导和就地说明，解释支持格式、覆盖状态含义及常见错误。桌宠默认不主动打扰，不自动播放声音。生成内容需可识别；对解析失败、缺少来源或知识关系不确定的结果，明确标示并允许核对。</w:t>
      </w:r>
    </w:p>
    <w:p w14:paraId="61A8E764">
      <w:pPr>
        <w:keepNext/>
        <w:spacing w:line="360" w:lineRule="auto"/>
        <w:rPr>
          <w:b/>
        </w:rPr>
      </w:pPr>
      <w:r>
        <w:rPr>
          <w:rFonts w:hint="eastAsia"/>
          <w:b/>
        </w:rPr>
        <w:t>2</w:t>
      </w:r>
      <w:r>
        <w:rPr>
          <w:b/>
        </w:rPr>
        <w:t>.3</w:t>
      </w:r>
      <w:r>
        <w:rPr>
          <w:rFonts w:hint="eastAsia"/>
          <w:b/>
        </w:rPr>
        <w:t>、 用户界面</w:t>
      </w:r>
    </w:p>
    <w:p w14:paraId="0B656852">
      <w:pPr>
        <w:ind w:firstLine="420"/>
      </w:pPr>
      <w:r>
        <w:rPr>
          <w:rFonts w:hint="eastAsia"/>
        </w:rPr>
        <w:t>整体界面以适合大学生学习、长时间阅读和汇报展示为目标，具有统一的视觉语言。知识树是主要艺术设计点，当前偏向艺术化思维导图；具体造型、布局、动效、配色和桌宠形象另行设计，不在需求阶段固定二次元或其他具体风格。</w:t>
      </w:r>
    </w:p>
    <w:p w14:paraId="2284DF22">
      <w:pPr>
        <w:ind w:firstLine="420"/>
      </w:pPr>
      <w:r>
        <w:rPr>
          <w:rFonts w:hint="eastAsia"/>
        </w:rPr>
        <w:t>首页采用课程书架，提供新建课程和课程入口。课程内提供资料列表、知识树、笔记本和覆盖总览入口。知识树展示层级与关系连线，叶子点击后进入对应笔记页；笔记本提供目录、讲次顺序阅读、来源及编辑入口。覆盖总览展示原资料页面、收录状态和选页补生成操作，状态同时用文字或图标表达。</w:t>
      </w:r>
    </w:p>
    <w:p w14:paraId="6284274A">
      <w:pPr>
        <w:ind w:firstLine="420"/>
      </w:pPr>
      <w:r>
        <w:rPr>
          <w:rFonts w:hint="eastAsia"/>
        </w:rPr>
        <w:t>桌宠在应用内悬浮，点击展开侧栏对话，与当前笔记并排。上传和生成过程有状态反馈，失败页面有告警。公式和代码统一渲染，正文具有清晰层级、适当字号和行距。界面以桌面浏览器为首要适配目标，动画和装饰不得遮挡学习内容；移动端不是首期验收重点。</w:t>
      </w:r>
    </w:p>
    <w:p w14:paraId="236A7C38">
      <w:pPr>
        <w:keepNext/>
        <w:spacing w:line="360" w:lineRule="auto"/>
        <w:rPr>
          <w:b/>
        </w:rPr>
      </w:pPr>
      <w:r>
        <w:rPr>
          <w:b/>
        </w:rPr>
        <w:t>2</w:t>
      </w:r>
      <w:r>
        <w:rPr>
          <w:rFonts w:hint="eastAsia"/>
          <w:b/>
        </w:rPr>
        <w:t>.</w:t>
      </w:r>
      <w:r>
        <w:rPr>
          <w:b/>
        </w:rPr>
        <w:t>4</w:t>
      </w:r>
      <w:r>
        <w:rPr>
          <w:rFonts w:hint="eastAsia"/>
          <w:b/>
        </w:rPr>
        <w:t xml:space="preserve">、对性能的一般性规定 </w:t>
      </w:r>
    </w:p>
    <w:p w14:paraId="26A8186C">
      <w:pPr>
        <w:keepNext/>
      </w:pPr>
      <w:r>
        <w:t>2</w:t>
      </w:r>
      <w:r>
        <w:rPr>
          <w:rFonts w:hint="eastAsia"/>
        </w:rPr>
        <w:t>.</w:t>
      </w:r>
      <w:r>
        <w:t>4</w:t>
      </w:r>
      <w:r>
        <w:rPr>
          <w:rFonts w:hint="eastAsia"/>
        </w:rPr>
        <w:t xml:space="preserve">.1、精度  </w:t>
      </w:r>
    </w:p>
    <w:p w14:paraId="2208A01D">
      <w:pPr>
        <w:ind w:firstLine="420"/>
      </w:pPr>
      <w:r>
        <w:rPr>
          <w:rFonts w:hint="eastAsia"/>
        </w:rPr>
        <w:t>资料名称、讲次、页数、页面定位、笔记标识和任务状态按实际数据显示。课件内容、笔记页和树叶的关联必须能够核对到同一来源；连续两讲出现的同名知识点不得因标识混淆而跳到错误讲次。</w:t>
      </w:r>
    </w:p>
    <w:p w14:paraId="26968E95">
      <w:pPr>
        <w:ind w:firstLine="420"/>
      </w:pPr>
      <w:r>
        <w:rPr>
          <w:rFonts w:hint="eastAsia"/>
        </w:rPr>
        <w:t>生成笔记与难点解释以真实课程样本人工核对，检查重点是否合理、核心含义是否改变、公式符号是否正确以及来源是否支持对应内容。系统不承诺模型回答绝对正确；对解析不完整、来源冲突或无法确认的推断保留标记，不用模型猜测替代原始资料。笔记中的课外解释与课件依据应能够区分。</w:t>
      </w:r>
    </w:p>
    <w:p w14:paraId="482321A1">
      <w:pPr>
        <w:ind w:firstLine="420"/>
      </w:pPr>
      <w:r>
        <w:rPr>
          <w:rFonts w:hint="eastAsia"/>
        </w:rPr>
        <w:t>覆盖总览只按已保存的页面到笔记来源映射计算。部分收录也可能构成页面已收录状态，应提供关联笔记供检查；该状态不表示原页所有信息完整覆盖。选页补生成失败时不得错误改变覆盖状态。</w:t>
      </w:r>
    </w:p>
    <w:p w14:paraId="2DA6089D">
      <w:pPr>
        <w:ind w:firstLine="420"/>
      </w:pPr>
      <w:r>
        <w:rPr>
          <w:rFonts w:hint="eastAsia"/>
        </w:rPr>
        <w:t>关系生成应结合内容与上下文，不仅按相同关键词连线。不确定关系应标示或暂不建立；每个展示中的叶子必须有有效笔记入口。新资料处理前后需核对用户编辑是否保留。</w:t>
      </w:r>
    </w:p>
    <w:p w14:paraId="2B019C6C">
      <w:pPr>
        <w:keepNext/>
      </w:pPr>
      <w:r>
        <w:t>2</w:t>
      </w:r>
      <w:r>
        <w:rPr>
          <w:rFonts w:hint="eastAsia"/>
        </w:rPr>
        <w:t>.</w:t>
      </w:r>
      <w:r>
        <w:t>4</w:t>
      </w:r>
      <w:r>
        <w:rPr>
          <w:rFonts w:hint="eastAsia"/>
        </w:rPr>
        <w:t xml:space="preserve">.2、时间特性要求  </w:t>
      </w:r>
    </w:p>
    <w:p w14:paraId="1D5284E3">
      <w:pPr>
        <w:ind w:firstLine="420"/>
      </w:pPr>
      <w:r>
        <w:rPr>
          <w:rFonts w:hint="eastAsia"/>
        </w:rPr>
        <w:t>本地页面浏览、叶子跳转、目录定位和笔记保存应及时反馈，不依赖模型重新生成。长任务在受理后显示状态，并在阶段变化时更新，必要时显示已处理页数；页面与桌宠不能因资料解析任务长时间冻结。</w:t>
      </w:r>
    </w:p>
    <w:p w14:paraId="48C3A474">
      <w:pPr>
        <w:ind w:firstLine="420"/>
      </w:pPr>
      <w:r>
        <w:rPr>
          <w:rFonts w:hint="eastAsia"/>
        </w:rPr>
        <w:t>答疑在模型支持时采用流式输出；资料处理和问答都应配置超时、有限重试及失败提示。具体页面响应、保存耗时、资料生成耗时、答疑首段与完整输出耗时，在团队演示设备和真实样本上分别测量，并区分本地处理、排队与外部服务耗时后确定验收阈值，不沿用未经验证的固定秒数作为承诺。</w:t>
      </w:r>
    </w:p>
    <w:p w14:paraId="17DBFC0E">
      <w:pPr>
        <w:keepNext/>
      </w:pPr>
      <w:r>
        <w:t>2</w:t>
      </w:r>
      <w:r>
        <w:rPr>
          <w:rFonts w:hint="eastAsia"/>
        </w:rPr>
        <w:t>.</w:t>
      </w:r>
      <w:r>
        <w:t>4</w:t>
      </w:r>
      <w:r>
        <w:rPr>
          <w:rFonts w:hint="eastAsia"/>
        </w:rPr>
        <w:t xml:space="preserve">.3、灵活性  </w:t>
      </w:r>
    </w:p>
    <w:p w14:paraId="069733C5">
      <w:pPr>
        <w:ind w:firstLine="420"/>
      </w:pPr>
      <w:r>
        <w:rPr>
          <w:rFonts w:hint="eastAsia"/>
        </w:rPr>
        <w:t>界面、资料解析、AI 编排、知识树、来源映射和本地存储之间保持清晰接口。模型端点、名称、超时和文件限制可通过受保护配置调整；替换模型供应商或解析组件不应要求重写笔记、关系和课程管理逻辑。</w:t>
      </w:r>
    </w:p>
    <w:p w14:paraId="6BDEB66C">
      <w:pPr>
        <w:ind w:firstLine="420"/>
      </w:pPr>
      <w:r>
        <w:rPr>
          <w:rFonts w:hint="eastAsia"/>
        </w:rPr>
        <w:t>知识树数据与视觉布局分离，后期专项美术设计可以调整形象和交互而保留已有笔记入口及关系。增加新讲次只增量更新对应内容；读取或索引重建不能改变既有来源标识及用户编辑。无网络或模型不可用时仍可浏览已有课程、知识树、笔记和覆盖总览，AI 生成与答疑明确提示暂不可用。</w:t>
      </w:r>
    </w:p>
    <w:p w14:paraId="7996A475">
      <w:pPr>
        <w:keepNext/>
      </w:pPr>
      <w:r>
        <w:t>2</w:t>
      </w:r>
      <w:r>
        <w:rPr>
          <w:rFonts w:hint="eastAsia"/>
        </w:rPr>
        <w:t>.</w:t>
      </w:r>
      <w:r>
        <w:t>4.</w:t>
      </w:r>
      <w:r>
        <w:rPr>
          <w:rFonts w:hint="eastAsia"/>
        </w:rPr>
        <w:t xml:space="preserve">4、输入输出要求 </w:t>
      </w:r>
    </w:p>
    <w:p w14:paraId="4FD66B6F">
      <w:pPr>
        <w:ind w:firstLine="420"/>
      </w:pPr>
      <w:r>
        <w:rPr>
          <w:rFonts w:hint="eastAsia"/>
        </w:rPr>
        <w:t>资料输入来自本地文件选择，格式为 PPTX、PDF、DOCX；上传必须绑定课程和讲次，校验真实格式、可读取性和已配置的大小或页数限制。页面定位采用 PPTX 幻灯片编号、PDF 页码及 DOCX 导入时生成的固定分页预览编号；界面显示同一套来源编号，Word 的分页实现方案须通过真实样本验证。</w:t>
      </w:r>
    </w:p>
    <w:p w14:paraId="614140C1">
      <w:pPr>
        <w:ind w:firstLine="420"/>
      </w:pPr>
      <w:r>
        <w:rPr>
          <w:rFonts w:hint="eastAsia"/>
        </w:rPr>
        <w:t>课程信息与用户问题为中文为主的文本，可包含英文、数学符号和代码。课程名称不能为空，问题拒绝空白输入；文本长度上限由界面和服务端统一配置。补生成输入为当前资料中有效的页面标识。用户编辑输入保留对应笔记版本；外部模型配置从本地受保护设置读取。</w:t>
      </w:r>
    </w:p>
    <w:p w14:paraId="1C53BF65">
      <w:pPr>
        <w:ind w:firstLine="420"/>
      </w:pPr>
      <w:r>
        <w:rPr>
          <w:rFonts w:hint="eastAsia"/>
        </w:rPr>
        <w:t>输出包含课程笔记、知识树节点及关系、逐页覆盖状态、对话、来源和任务结果。笔记用结构化数据持久保存，在界面安全渲染正文、公式与代码；树叶包含笔记位置标识，关系包含端点和类型；覆盖状态基于来源映射。失败输出显示原因、影响和重试方式，不包含密钥、内部堆栈或无关本机路径。</w:t>
      </w:r>
    </w:p>
    <w:p w14:paraId="612ED967">
      <w:pPr>
        <w:ind w:firstLine="420"/>
      </w:pPr>
      <w:r>
        <w:rPr>
          <w:rFonts w:hint="eastAsia"/>
        </w:rPr>
        <w:t>示例：上传第一讲介绍“矩阵的秩”的课件，系统按课件顺序生成重点及难点解释，建立第一讲叶子和来源记录。第三讲再次讨论该概念时，生成位于第三讲的笔记页及独立叶子，在两个节点间建立联系；整本阅读仍保持第一讲、第三讲顺序。用户在覆盖总览发现某页应被收录，选中后生成补充页并更新树与状态。向桌宠提问时，回答结合当前课程和阅读上下文，引用课程内容则显示可用出处。</w:t>
      </w:r>
    </w:p>
    <w:p w14:paraId="378491B8">
      <w:pPr>
        <w:keepNext/>
        <w:spacing w:line="360" w:lineRule="auto"/>
        <w:rPr>
          <w:b/>
        </w:rPr>
      </w:pPr>
      <w:r>
        <w:rPr>
          <w:b/>
        </w:rPr>
        <w:t>2</w:t>
      </w:r>
      <w:r>
        <w:rPr>
          <w:rFonts w:hint="eastAsia"/>
          <w:b/>
        </w:rPr>
        <w:t>.</w:t>
      </w:r>
      <w:r>
        <w:rPr>
          <w:b/>
        </w:rPr>
        <w:t>5</w:t>
      </w:r>
      <w:r>
        <w:rPr>
          <w:rFonts w:hint="eastAsia"/>
          <w:b/>
        </w:rPr>
        <w:t xml:space="preserve">、数据管理能力要求  </w:t>
      </w:r>
    </w:p>
    <w:p w14:paraId="5711F165">
      <w:pPr>
        <w:ind w:firstLine="420"/>
      </w:pPr>
      <w:r>
        <w:rPr>
          <w:rFonts w:hint="eastAsia"/>
        </w:rPr>
        <w:t>系统管理课程、讲次、原始资料、导入页面、解析任务、解析结果、课程笔记本、笔记页或片段、难点标记、知识树节点、关系、来源映射、用户编辑版本、桌宠对话和非敏感配置。对象间使用稳定标识；课件页与笔记可以多对多关联，树叶引用具体笔记位置，同一知识点跨讲出现时不复用导致覆盖的页面标识。</w:t>
      </w:r>
    </w:p>
    <w:p w14:paraId="7AC818D0">
      <w:pPr>
        <w:ind w:firstLine="420"/>
      </w:pPr>
      <w:r>
        <w:rPr>
          <w:rFonts w:hint="eastAsia"/>
        </w:rPr>
        <w:t>资料、笔记和图数据本地持久保存。页面覆盖状态应能由来源映射重新计算，检索索引可重建而不丢失原资料和用户编辑。新资料、补生成和删除操作应保证笔记、树叶、关系与引用一致；任务失败时保留此前完整可用的数据，不产生只有叶子却没有笔记的记录。</w:t>
      </w:r>
    </w:p>
    <w:p w14:paraId="533BA33B">
      <w:pPr>
        <w:ind w:firstLine="420"/>
      </w:pPr>
      <w:r>
        <w:rPr>
          <w:rFonts w:hint="eastAsia"/>
        </w:rPr>
        <w:t>容量规划随真实样本增长估算。例如 5 门课程、每门 20 份、每份平均 20 MB 时，原始文件约 2 GB；这是存储规划示例，不是已确认容量上限。解析文本、页面预览、索引、对话和备份另计，不能只按文本量估算。首轮至少以一门课程连续两讲验证增量更新，再用三类格式样本测量空间占用和可承受的节点规模，确定正式容量基线。</w:t>
      </w:r>
    </w:p>
    <w:p w14:paraId="0F2A05D9">
      <w:pPr>
        <w:ind w:firstLine="420"/>
      </w:pPr>
      <w:r>
        <w:rPr>
          <w:rFonts w:hint="eastAsia"/>
        </w:rPr>
        <w:t>生成、整合或补充前应保护既有版本，用户编辑记录应可核对。团队应明确本地数据目录、备份方式和恢复步骤，并在演示前验证关闭、重启后数据仍可读取。日志只保存排错需要的任务标识、状态、时间与错误类别，不记录明文密钥。</w:t>
      </w:r>
    </w:p>
    <w:p w14:paraId="2A85D012">
      <w:pPr>
        <w:keepNext/>
        <w:spacing w:line="360" w:lineRule="auto"/>
        <w:rPr>
          <w:b/>
        </w:rPr>
      </w:pPr>
      <w:r>
        <w:rPr>
          <w:b/>
        </w:rPr>
        <w:t>2</w:t>
      </w:r>
      <w:r>
        <w:rPr>
          <w:rFonts w:hint="eastAsia"/>
          <w:b/>
        </w:rPr>
        <w:t>.</w:t>
      </w:r>
      <w:r>
        <w:rPr>
          <w:b/>
        </w:rPr>
        <w:t>6</w:t>
      </w:r>
      <w:r>
        <w:rPr>
          <w:rFonts w:hint="eastAsia"/>
          <w:b/>
        </w:rPr>
        <w:t xml:space="preserve">、故障处理要求  </w:t>
      </w:r>
    </w:p>
    <w:p w14:paraId="1F37F1DC">
      <w:pPr>
        <w:ind w:firstLine="420"/>
      </w:pPr>
      <w:r>
        <w:rPr>
          <w:rFonts w:hint="eastAsia"/>
        </w:rPr>
        <w:t>文件损坏、格式不支持或超过配置限制时，停止解析并说明原因；保留已存在的课程数据。图片文字、公式或扫描页无法识别时，标出具体页和失败内容，允许换文件或重试，不把失败页伪装成已正确收录。</w:t>
      </w:r>
    </w:p>
    <w:p w14:paraId="1B7832EA">
      <w:pPr>
        <w:ind w:firstLine="420"/>
      </w:pPr>
      <w:r>
        <w:rPr>
          <w:rFonts w:hint="eastAsia"/>
        </w:rPr>
        <w:t>模型超时、限流、网络中断或调用失败时，执行有限重试，保留原资料、用户问题和任务状态，允许再次发起；不得无限调用。AI 结构化输出不合法、来源标识无效或关系端点不存在时，校验失败结果，不直接写入正式笔记与知识树，允许重新生成。</w:t>
      </w:r>
    </w:p>
    <w:p w14:paraId="76CC02C8">
      <w:pPr>
        <w:ind w:firstLine="420"/>
      </w:pPr>
      <w:r>
        <w:rPr>
          <w:rFonts w:hint="eastAsia"/>
        </w:rPr>
        <w:t>补生成失败、重复提交或知识树更新异常时，保持此前笔记与覆盖状态一致，不重复插页，不丢失用户编辑。关系无法确认时标记不确定或暂不建立；界面可继续浏览既有笔记。</w:t>
      </w:r>
    </w:p>
    <w:p w14:paraId="3FD2B6AD">
      <w:pPr>
        <w:ind w:firstLine="420"/>
      </w:pPr>
      <w:r>
        <w:rPr>
          <w:rFonts w:hint="eastAsia"/>
        </w:rPr>
        <w:t>数据库写入失败、目录权限不足或磁盘空间不足时，显示保存失败，不误报成功，保留已有文件并提示处理方式。浏览器关闭、应用异常退出或设备断电后，重启应能够读到已保存内容，未完成任务标为可重试或恢复状态。模型服务不可用时浏览功能继续可用，AI 功能提示受限。</w:t>
      </w:r>
    </w:p>
    <w:p w14:paraId="45990726">
      <w:pPr>
        <w:keepNext/>
        <w:spacing w:line="360" w:lineRule="auto"/>
        <w:rPr>
          <w:b/>
        </w:rPr>
      </w:pPr>
      <w:r>
        <w:rPr>
          <w:b/>
        </w:rPr>
        <w:t>2</w:t>
      </w:r>
      <w:r>
        <w:rPr>
          <w:rFonts w:hint="eastAsia"/>
          <w:b/>
        </w:rPr>
        <w:t>.</w:t>
      </w:r>
      <w:r>
        <w:rPr>
          <w:b/>
        </w:rPr>
        <w:t>7</w:t>
      </w:r>
      <w:r>
        <w:rPr>
          <w:rFonts w:hint="eastAsia"/>
          <w:b/>
        </w:rPr>
        <w:t>、其他专门要求</w:t>
      </w:r>
    </w:p>
    <w:p w14:paraId="4A98E640">
      <w:pPr>
        <w:ind w:firstLine="420"/>
      </w:pPr>
      <w:r>
        <w:rPr>
          <w:rFonts w:hint="eastAsia"/>
        </w:rPr>
        <w:t>安全方面，外部服务凭证从本地受保护配置读取，不放入公开前端资源和版本库，不在界面完整回显。文件读取和删除限制在应用数据范围内，上传文件与检索文本作为资料处理，不能作为控制应用或访问其他本机文件的指令。删除课程或资料前说明影响并确认。</w:t>
      </w:r>
    </w:p>
    <w:p w14:paraId="4304EA8E">
      <w:pPr>
        <w:ind w:firstLine="420"/>
      </w:pPr>
      <w:r>
        <w:rPr>
          <w:rFonts w:hint="eastAsia"/>
        </w:rPr>
        <w:t>易用性方面，用户能够直接完成建课、上传、阅读、查漏补充与提问；树叶有清晰笔记入口，状态有文字说明，资料来源能够核对。公式和代码保持可读，桌宠和动效不过度遮挡阅读区域。主要操作和错误提示在各页面一致。</w:t>
      </w:r>
    </w:p>
    <w:p w14:paraId="428A5B91">
      <w:pPr>
        <w:ind w:firstLine="420"/>
      </w:pPr>
      <w:r>
        <w:rPr>
          <w:rFonts w:hint="eastAsia"/>
        </w:rPr>
        <w:t>可靠性方面，课程内容跨重启保留，生成失败不损坏既有笔记与图数据，用户编辑不被自动覆盖。可维护性方面，关键模块和数据对象有说明，解析、检索、模型调用和界面逻辑分离，新增格式或更换模型时可独立验证。</w:t>
      </w:r>
    </w:p>
    <w:p w14:paraId="031F2FF8">
      <w:pPr>
        <w:ind w:firstLine="420"/>
      </w:pPr>
      <w:r>
        <w:rPr>
          <w:rFonts w:hint="eastAsia"/>
        </w:rPr>
        <w:t>汇报验收除展示界面效果外，应能解释资料到笔记与树的处理链、来源映射、关系分析、课程检索与上下文组装、结构化输出校验和增量更新，并用真实资料演示。团队应能够说明 AI 辅助编写代码的关键逻辑，并提供核心流程运行与验证的结果。</w:t>
      </w:r>
    </w:p>
    <w:p w14:paraId="2DA06E1E">
      <w:pPr>
        <w:pStyle w:val="2"/>
        <w:keepNext/>
      </w:pPr>
      <w:r>
        <w:rPr>
          <w:sz w:val="28"/>
        </w:rPr>
        <w:t>3</w:t>
      </w:r>
      <w:r>
        <w:rPr>
          <w:rFonts w:hint="eastAsia"/>
          <w:sz w:val="28"/>
        </w:rPr>
        <w:t>、运行环境规定</w:t>
      </w:r>
      <w:r>
        <w:rPr>
          <w:rFonts w:hint="eastAsia"/>
        </w:rPr>
        <w:t xml:space="preserve">  </w:t>
      </w:r>
    </w:p>
    <w:p w14:paraId="0DF808F5">
      <w:pPr>
        <w:keepNext/>
        <w:spacing w:line="360" w:lineRule="auto"/>
        <w:rPr>
          <w:b/>
        </w:rPr>
      </w:pPr>
      <w:r>
        <w:rPr>
          <w:b/>
        </w:rPr>
        <w:t>3</w:t>
      </w:r>
      <w:r>
        <w:rPr>
          <w:rFonts w:hint="eastAsia"/>
          <w:b/>
        </w:rPr>
        <w:t xml:space="preserve">.1、设备  </w:t>
      </w:r>
    </w:p>
    <w:p w14:paraId="0E2069D8">
      <w:pPr>
        <w:ind w:firstLine="420"/>
      </w:pPr>
      <w:r>
        <w:rPr>
          <w:rFonts w:hint="eastAsia"/>
        </w:rPr>
        <w:t>在团队实际使用的一台 Windows 笔记本或台式电脑运行本地服务和浏览器，单用户操作。设备需具备与所选运行环境兼容的处理器、足够内存和保存课件、预览、索引与备份的可用磁盘空间。初步建议不少于 8 GB 内存，实际空间和解析资源需求以样本测量为准，复杂扫描件或图片资料可能增加资源开销。</w:t>
      </w:r>
    </w:p>
    <w:p w14:paraId="07798320">
      <w:pPr>
        <w:ind w:firstLine="420"/>
      </w:pPr>
      <w:r>
        <w:rPr>
          <w:rFonts w:hint="eastAsia"/>
        </w:rPr>
        <w:t>AI 功能通过外部 API 提供，不要求本地部署大语言模型或专用显卡。调用模型时需要网络；离线保留已保存资料和笔记的浏览能力。其他操作系统与移动设备适配不作为首期优先验收项。</w:t>
      </w:r>
    </w:p>
    <w:p w14:paraId="3B0B7293">
      <w:pPr>
        <w:keepNext/>
        <w:spacing w:line="360" w:lineRule="auto"/>
        <w:rPr>
          <w:b/>
        </w:rPr>
      </w:pPr>
      <w:r>
        <w:rPr>
          <w:b/>
        </w:rPr>
        <w:t>3</w:t>
      </w:r>
      <w:r>
        <w:rPr>
          <w:rFonts w:hint="eastAsia"/>
          <w:b/>
        </w:rPr>
        <w:t xml:space="preserve">.2、支撑软件 </w:t>
      </w:r>
    </w:p>
    <w:p w14:paraId="05BE86F8">
      <w:pPr>
        <w:ind w:firstLine="420"/>
      </w:pPr>
      <w:r>
        <w:rPr>
          <w:rFonts w:hint="eastAsia"/>
        </w:rPr>
        <w:t>支撑软件包括现代桌面浏览器、本地前后端运行环境、三类资料解析组件、必要的公式或图片识别组件、本地数据库或结构化文件存储、课程检索索引、公式与代码渲染组件，以及配置的大语言模型服务。</w:t>
      </w:r>
    </w:p>
    <w:p w14:paraId="7E0B6E45">
      <w:pPr>
        <w:ind w:firstLine="420"/>
      </w:pPr>
      <w:r>
        <w:rPr>
          <w:rFonts w:hint="eastAsia"/>
        </w:rPr>
        <w:t>系统应提供可重现的安装与启动说明、依赖清单和不含真实密钥的示例配置。技术栈没有课程硬性限制，具体语言、框架、数据库、检索方式及模型供应商在技术验证后确定；React、FastAPI、SQLite 等可作为评估候选，最终选型应结合样本验证、团队熟悉程度和两个月的开发条件确定。</w:t>
      </w:r>
    </w:p>
    <w:p w14:paraId="46772319">
      <w:pPr>
        <w:ind w:firstLine="420"/>
      </w:pPr>
      <w:r>
        <w:rPr>
          <w:rFonts w:hint="eastAsia"/>
        </w:rPr>
        <w:t>测试支持需要能够验证资料页定位、笔记保存、树叶到笔记的映射、关系端点、覆盖计算、补生成、用户编辑保留和跨重启读取；模型生成质量还需人工核对真实样本。汇报可保留已真实生成的演示资料应对外部服务波动，并明确说明实时生成是否可用。</w:t>
      </w:r>
    </w:p>
    <w:p w14:paraId="1629957D">
      <w:pPr>
        <w:keepNext/>
        <w:spacing w:line="360" w:lineRule="auto"/>
        <w:rPr>
          <w:b/>
        </w:rPr>
      </w:pPr>
      <w:r>
        <w:rPr>
          <w:b/>
        </w:rPr>
        <w:t>3</w:t>
      </w:r>
      <w:r>
        <w:rPr>
          <w:rFonts w:hint="eastAsia"/>
          <w:b/>
        </w:rPr>
        <w:t>.</w:t>
      </w:r>
      <w:r>
        <w:rPr>
          <w:b/>
        </w:rPr>
        <w:t>3</w:t>
      </w:r>
      <w:r>
        <w:rPr>
          <w:rFonts w:hint="eastAsia"/>
          <w:b/>
        </w:rPr>
        <w:t xml:space="preserve">、接口  </w:t>
      </w:r>
    </w:p>
    <w:p w14:paraId="1341E5A1">
      <w:pPr>
        <w:ind w:firstLine="420"/>
      </w:pPr>
      <w:r>
        <w:rPr>
          <w:rFonts w:hint="eastAsia"/>
        </w:rPr>
        <w:t>浏览器通过本机地址调用本地业务服务，采用结构化请求与响应。接口覆盖课程、资料上传、任务状态、笔记读取与编辑、知识树、覆盖总览、选页补生成和桌宠对话；长任务可用轮询或事件推送，具体协议由技术设计确定。远程上线不是首期要求。</w:t>
      </w:r>
    </w:p>
    <w:p w14:paraId="47937D9E">
      <w:pPr>
        <w:ind w:firstLine="420"/>
      </w:pPr>
      <w:r>
        <w:rPr>
          <w:rFonts w:hint="eastAsia"/>
        </w:rPr>
        <w:t>解析模块返回文件及页面标识、文本、结构信号、可用对象与失败状态；AI 模块接收课程和任务上下文，返回经过校验的笔记内容、难点解释、节点关系或答疑内容；检索模块按课程过滤并返回关联片段及来源。内部统一传递课程、讲次、资料、页面、笔记、节点、关系与任务标识。</w:t>
      </w:r>
    </w:p>
    <w:p w14:paraId="21FADE08">
      <w:pPr>
        <w:ind w:firstLine="420"/>
      </w:pPr>
      <w:r>
        <w:rPr>
          <w:rFonts w:hint="eastAsia"/>
        </w:rPr>
        <w:t>外部模型请求由本地服务统一代理，配置模型端点、名称、密钥、超时与重试次数。检索和生成结果需校验课程归属、有效来源和关系端点；笔记、树与覆盖状态在业务校验及保存后统一生效。若后续接入 OCR 或搜索服务，需单独定义返回格式与失败处理；联网搜索不是当前必须接口。</w:t>
      </w:r>
    </w:p>
    <w:p w14:paraId="46DAAEBB">
      <w:pPr>
        <w:keepNext/>
        <w:spacing w:line="360" w:lineRule="auto"/>
        <w:rPr>
          <w:b/>
        </w:rPr>
      </w:pPr>
      <w:r>
        <w:rPr>
          <w:b/>
        </w:rPr>
        <w:t>3</w:t>
      </w:r>
      <w:r>
        <w:rPr>
          <w:rFonts w:hint="eastAsia"/>
          <w:b/>
        </w:rPr>
        <w:t xml:space="preserve">.4、控制  </w:t>
      </w:r>
    </w:p>
    <w:p w14:paraId="0513F4D3">
      <w:pPr>
        <w:ind w:firstLine="420"/>
      </w:pPr>
      <w:r>
        <w:rPr>
          <w:rFonts w:hint="eastAsia"/>
        </w:rPr>
        <w:t>用户通过界面控制课程创建与打开、资料上传、笔记浏览和编辑、树的展开收起及叶子跳转、覆盖检查、选页补生成、桌宠展开关闭和连续提问。删除、重置或替换有数据影响的内容需要明确确认；不设置独立的线上管理员角色。</w:t>
      </w:r>
    </w:p>
    <w:p w14:paraId="48743F35">
      <w:pPr>
        <w:ind w:firstLine="420"/>
      </w:pPr>
      <w:r>
        <w:rPr>
          <w:rFonts w:hint="eastAsia"/>
        </w:rPr>
        <w:t>上传完成信号来自浏览器，触发资料解析任务；解析完成或失败信号来自解析模块，分别进入生成流程或提示重试；生成与关系校验完成信号来自 AI 业务处理模块，在持久保存后更新笔记和树；选页补生成信号来自用户选择，保存成功后更新该页覆盖与新增叶子；编辑保存信号来自笔记页，写入用户版本并保护后续更新；模型错误和本地写入错误来自对应服务，触发有限重试或明确失败反馈。</w:t>
      </w:r>
    </w:p>
    <w:p w14:paraId="6096505E">
      <w:pPr>
        <w:ind w:firstLine="420"/>
      </w:pPr>
      <w:r>
        <w:rPr>
          <w:rFonts w:hint="eastAsia"/>
        </w:rPr>
        <w:t>模型与文件限制通过本地配置调整，应用显示配置是否可用而不泄露密钥。重启时读取已保存数据并核对未完成任务状态；状态变化不得绕过来源、版本和数据一致性检查。桌宠负责问答，不通过对话自动执行笔记修改或删除操作。</w:t>
      </w:r>
    </w:p>
    <w:p w14:paraId="519E0B36">
      <w:pPr>
        <w:pStyle w:val="2"/>
        <w:keepNext/>
        <w:rPr>
          <w:sz w:val="28"/>
        </w:rPr>
      </w:pPr>
      <w:r>
        <w:rPr>
          <w:sz w:val="28"/>
        </w:rPr>
        <w:t>4</w:t>
      </w:r>
      <w:r>
        <w:rPr>
          <w:rFonts w:hint="eastAsia"/>
          <w:sz w:val="28"/>
        </w:rPr>
        <w:t xml:space="preserve">、尚需解决的问题 </w:t>
      </w:r>
    </w:p>
    <w:p w14:paraId="7F1A6AAD">
      <w:pPr>
        <w:ind w:firstLine="420"/>
      </w:pPr>
      <w:r>
        <w:rPr>
          <w:rFonts w:hint="eastAsia"/>
        </w:rPr>
        <w:t>（1）真实资料验证。确定用于验收的课程、连续讲次及 PPTX、PDF、DOCX 样本，验证图片、扫描件、表格、代码和公式的解析质量，明确失败对象如何呈现。</w:t>
      </w:r>
    </w:p>
    <w:p w14:paraId="2E3FAB92">
      <w:pPr>
        <w:ind w:firstLine="420"/>
      </w:pPr>
      <w:r>
        <w:rPr>
          <w:rFonts w:hint="eastAsia"/>
        </w:rPr>
        <w:t>（2）Word 页面与其他兼容格式。确定 DOCX 导入时固定分页或预览的方法，确保来源和覆盖状态可稳定核对；旧版 .ppt、.doc 是否需要转换支持及扫描 PDF 的识别能力由验证决定。</w:t>
      </w:r>
    </w:p>
    <w:p w14:paraId="4909A318">
      <w:pPr>
        <w:ind w:firstLine="420"/>
      </w:pPr>
      <w:r>
        <w:rPr>
          <w:rFonts w:hint="eastAsia"/>
        </w:rPr>
        <w:t>（3）生成质量与粒度。用样本确定重点筛选依据、难点标记规则、每个笔记页的内容粒度以及如何对强关联分类；跨讲同名知识点保留独立叶子的原则已确定，具体关系阈值和不确定关系展示还需验证。</w:t>
      </w:r>
    </w:p>
    <w:p w14:paraId="0D238231">
      <w:pPr>
        <w:ind w:firstLine="420"/>
      </w:pPr>
      <w:r>
        <w:rPr>
          <w:rFonts w:hint="eastAsia"/>
        </w:rPr>
        <w:t>（4）知识树专项设计。确认艺术化思维导图的布局、节点形象、关联线、动效和新增内容提示，统一书架、笔记本与桌宠的视觉语言。该项后期专门设计，不影响已确定的笔记组织和叶子映射。</w:t>
      </w:r>
    </w:p>
    <w:p w14:paraId="01016327">
      <w:pPr>
        <w:ind w:firstLine="420"/>
      </w:pPr>
      <w:r>
        <w:rPr>
          <w:rFonts w:hint="eastAsia"/>
        </w:rPr>
        <w:t>（5）技术与 AI 服务。确定前后端、本地存储、资料解析、课程检索和模型供应商；明确调用预算、配置方式及资料处理范围。桌宠的课程检索、当前笔记上下文、连续追问与来源区分必须保留，是否使用向量检索、图关系辅助检索或联网搜索需按实际效果决定。</w:t>
      </w:r>
    </w:p>
    <w:p w14:paraId="7E524A7D">
      <w:pPr>
        <w:ind w:firstLine="420"/>
      </w:pPr>
      <w:r>
        <w:rPr>
          <w:rFonts w:hint="eastAsia"/>
        </w:rPr>
        <w:t>（6）运行与容量。根据演示设备和实际 API 测量文件上限、课程和节点规模、任务耗时及问答耗时；补充量化验收阈值。确定本地数据目录、备份恢复方案、重复上传识别和删除资料时保留用户编辑的细则。</w:t>
      </w:r>
    </w:p>
    <w:p w14:paraId="7397BC36">
      <w:pPr>
        <w:ind w:firstLine="420"/>
      </w:pPr>
      <w:r>
        <w:rPr>
          <w:rFonts w:hint="eastAsia"/>
        </w:rPr>
        <w:t>（7）分工与排期。依据 3 人、约 2 个月且兼顾其他任务的条件，落实技术验证、核心流程、专项视觉和汇报验收的分工与具体日期；优先保证已确认核心流程完整运行，不将额外学习工具或上线部署加入首期。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k2Y2FhZGNhY2VkYTdhYjI4OWVlNzEyZTQ1OWFiYTcifQ=="/>
  </w:docVars>
  <w:rsids>
    <w:rsidRoot w:val="00EB3578"/>
    <w:rsid w:val="0006028F"/>
    <w:rsid w:val="001C1E25"/>
    <w:rsid w:val="0045727E"/>
    <w:rsid w:val="005133A5"/>
    <w:rsid w:val="006F01FA"/>
    <w:rsid w:val="00825E57"/>
    <w:rsid w:val="008D4EE8"/>
    <w:rsid w:val="009C7503"/>
    <w:rsid w:val="00C05A11"/>
    <w:rsid w:val="00EB3578"/>
    <w:rsid w:val="06343DAE"/>
    <w:rsid w:val="0CE57E5A"/>
    <w:rsid w:val="12196D37"/>
    <w:rsid w:val="192B3098"/>
    <w:rsid w:val="1BD17F27"/>
    <w:rsid w:val="424010B3"/>
    <w:rsid w:val="463F6EC0"/>
    <w:rsid w:val="56A007DB"/>
    <w:rsid w:val="5B8A1432"/>
    <w:rsid w:val="60AD6F4B"/>
    <w:rsid w:val="699F6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">
    <w:name w:val="标题 1 字符"/>
    <w:basedOn w:val="5"/>
    <w:link w:val="2"/>
    <w:uiPriority w:val="9"/>
    <w:rPr>
      <w:rFonts w:ascii="Times New Roman" w:hAnsi="Times New Roman" w:eastAsia="宋体"/>
      <w:b/>
      <w:bCs/>
      <w:kern w:val="44"/>
      <w:sz w:val="44"/>
      <w:szCs w:val="44"/>
    </w:rPr>
  </w:style>
  <w:style w:type="paragraph" w:styleId="7">
    <w:name w:val="No Spacing"/>
    <w:qFormat/>
    <w:uiPriority w:val="1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1452</Words>
  <Characters>1556</Characters>
  <Lines>8</Lines>
  <Paragraphs>2</Paragraphs>
  <TotalTime>147</TotalTime>
  <ScaleCrop>false</ScaleCrop>
  <LinksUpToDate>false</LinksUpToDate>
  <CharactersWithSpaces>1595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2019-01-06T07:06:00Z</dcterms:created>
  <dc:creator>YuQian Tang</dc:creator>
  <cp:lastModifiedBy>Xx家到晚</cp:lastModifiedBy>
  <dcterms:modified xsi:type="dcterms:W3CDTF">2026-10-08T02:28:24Z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039D9A288FEB43109084532C2BFE4B69</vt:lpwstr>
  </property>
  <property fmtid="{D5CDD505-2E9C-101B-9397-08002B2CF9AE}" pid="4" name="KSOTemplateDocerSaveRecord">
    <vt:lpwstr>eyJoZGlkIjoiM2YxNDI5YzczMTZjMzJjODBiMDg1YzM5NDM1MThlZTYiLCJ1c2VySWQiOiIxMzkxODM2NTAxIn0=</vt:lpwstr>
  </property>
</Properties>
</file>