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出口市场联动与下行风险研究方案"/>
    <w:p>
      <w:pPr>
        <w:pStyle w:val="Title"/>
        <w:jc w:val="center"/>
      </w:pPr>
      <w:r>
        <w:t xml:space="preserve">出口市场联动与下行风险研究方案</w:t>
      </w:r>
    </w:p>
    <w:p>
      <w:pPr>
        <w:pStyle w:val="FirstParagraph"/>
      </w:pPr>
      <w:r>
        <w:t xml:space="preserve">本项目研究一个具体问题：在出口目的地数量和份额集中度相近时，目的地之间的进口变化联动，能否提供额外的出口下行风险预警信息？研究以公开年度贸易数据为基础，设计可靠性约束的有符号关系图与出口份额驱动的成对暴露模块，并通过时间外预测检验其价值。课程阶段完成可运行的方法与核心实验，毕业论文阶段补足经济解释、稳健性与适用边界。</w:t>
      </w:r>
    </w:p>
    <w:p>
      <w:pPr>
        <w:pStyle w:val="BodyText"/>
      </w:pPr>
      <w:r>
        <w:t xml:space="preserve">本方案为实验前设计。用户已在自己的设备下载BACI及三项世界银行指标；本环境尚未读取这些原始文件。样本量、缺失率、风险事件比例、模型效果均待实际审计。所有“创新”均指拟争取的贡献，不表示已完成全面查新或取得实证支持。</w:t>
      </w:r>
    </w:p>
    <w:bookmarkStart w:id="23" w:name="一-研究定位与最终交付"/>
    <w:p>
      <w:pPr>
        <w:pStyle w:val="Heading2"/>
      </w:pPr>
      <w:r>
        <w:t xml:space="preserve">一 研究定位与最终交付</w:t>
      </w:r>
    </w:p>
    <w:bookmarkStart w:id="20" w:name="题目与研究边界"/>
    <w:p>
      <w:pPr>
        <w:pStyle w:val="Heading3"/>
      </w:pPr>
      <w:r>
        <w:t xml:space="preserve">1 题目与研究边界</w:t>
      </w:r>
    </w:p>
    <w:p>
      <w:pPr>
        <w:pStyle w:val="FirstParagraph"/>
      </w:pPr>
      <w:r>
        <w:t xml:space="preserve">建议题目为《出口目的地联动与出口下行风险预测——基于可靠性约束与成对暴露的图学习方法》。暂用英文模型简称REPAIR，展开为 Reliability-aware Exposure-Pair Aggregation for International-trade Risk；该简称只是工作名称，不构成首创性主张。</w:t>
      </w:r>
    </w:p>
    <w:p>
      <w:pPr>
        <w:pStyle w:val="BodyText"/>
      </w:pPr>
      <w:r>
        <w:t xml:space="preserve">研究单位为“出口经济体—产品—年份”，不是企业或订单。主结果是下一年该经济体该产品的名义美元出口额是否显著下降。它反映产品出口收入风险，不直接等同于实际销量下降、企业违约、供应链中断或纯需求冲击。目的地进口变化用于描述外部市场共变，不作因果识别。</w:t>
      </w:r>
    </w:p>
    <w:p>
      <w:pPr>
        <w:pStyle w:val="BodyText"/>
      </w:pPr>
      <w:r>
        <w:t xml:space="preserve">主分析将六位HS原始数据加总至四位HS产品。理由是年度历史较短，六位产品的小额流量及零值可能使增长和相关性不稳定。六位产品作为毕业论文扩展与稳健性分析，保留原始信息而不提前丢弃。课程试验暂从HS84内部四位产品启动，依据训练期覆盖审计决定是否加入HS85；不得依测试效果挑行业。</w:t>
      </w:r>
    </w:p>
    <w:bookmarkEnd w:id="20"/>
    <w:bookmarkStart w:id="21" w:name="核心问题与可被推翻的预期"/>
    <w:p>
      <w:pPr>
        <w:pStyle w:val="Heading3"/>
      </w:pPr>
      <w:r>
        <w:t xml:space="preserve">2 核心问题与可被推翻的预期</w:t>
      </w:r>
    </w:p>
    <w:p>
      <w:pPr>
        <w:pStyle w:val="FirstParagraph"/>
      </w:pPr>
      <w:r>
        <w:t xml:space="preserve">RQ1 信息价值：控制规模、增长、波动、份额集中度、宏观变量和传统组合风险后，市场关系是否仍改善未来预测？若改进消失，应承认新增信息有限。</w:t>
      </w:r>
    </w:p>
    <w:p>
      <w:pPr>
        <w:pStyle w:val="BodyText"/>
      </w:pPr>
      <w:r>
        <w:t xml:space="preserve">RQ2 关系可靠性：短年度序列得到的关系容易受单年异常影响。可靠性过滤是否优于直接使用样本相关图？若无稳定改善，不应把复杂构图保留为核心贡献。</w:t>
      </w:r>
    </w:p>
    <w:p>
      <w:pPr>
        <w:pStyle w:val="BodyText"/>
      </w:pPr>
      <w:r>
        <w:t xml:space="preserve">RQ3 成对暴露：在相同的节点特征和图编码器下，显式使用两个目的地的份额乘积，是否优于普通加权平均汇总？若不成立，方法应简化。</w:t>
      </w:r>
    </w:p>
    <w:p>
      <w:pPr>
        <w:pStyle w:val="BodyText"/>
      </w:pPr>
      <w:r>
        <w:t xml:space="preserve">RQ4 经济边界：低HHI但高联动暴露的出口组合，是否比低HHI且低联动组合具有更高样本外风险？这种差异是否只出现在少数行业、年份或大额出口组合？</w:t>
      </w:r>
    </w:p>
    <w:bookmarkEnd w:id="21"/>
    <w:bookmarkStart w:id="22" w:name="最终成果"/>
    <w:p>
      <w:pPr>
        <w:pStyle w:val="Heading3"/>
      </w:pPr>
      <w:r>
        <w:t xml:space="preserve">3 最终成果</w:t>
      </w:r>
    </w:p>
    <w:p>
      <w:pPr>
        <w:pStyle w:val="FirstParagraph"/>
      </w:pPr>
      <w:r>
        <w:t xml:space="preserve">课程成果包括相关研究综述、版本化数据处理流程、模型实现、时间外对照与消融实验，以及按范文结构撰写的论文。毕业成果增加六位产品扩展、宏观因素剥离、跨经济体适用性与解释边界，并形成可复现的完整论文。本文不承诺顶会录用或事前确定的模型优越性。</w:t>
      </w:r>
    </w:p>
    <w:bookmarkEnd w:id="22"/>
    <w:bookmarkEnd w:id="23"/>
    <w:bookmarkStart w:id="24" w:name="二-创新工作占比与贡献认定"/>
    <w:p>
      <w:pPr>
        <w:pStyle w:val="Heading2"/>
      </w:pPr>
      <w:r>
        <w:t xml:space="preserve">二 创新工作占比与贡献认定</w:t>
      </w:r>
    </w:p>
    <w:p>
      <w:pPr>
        <w:pStyle w:val="FirstParagraph"/>
      </w:pPr>
      <w:r>
        <w:t xml:space="preserve">“</w:t>
      </w:r>
      <w:r>
        <w:t xml:space="preserve">创新占一半以上</w:t>
      </w:r>
      <w:r>
        <w:t xml:space="preserve">”</w:t>
      </w:r>
      <w:r>
        <w:t xml:space="preserve">落实为研究工作安排和论文证据重心，不能用字数、模型名称或引用数量证明。基础复现和基础设施约占40%；围绕自定义问题、方法及其验证的工作约占60%。这60%中仍包含可能被实验否定的尝试。</w:t>
      </w:r>
    </w:p>
    <w:tbl>
      <w:tblPr>
        <w:tblStyle w:val="Table"/>
        <w:tblW w:type="pct" w:w="5000"/>
        <w:tblLayout w:type="fixed"/>
        <w:tblLook w:firstRow="1" w:lastRow="0" w:firstColumn="0" w:lastColumn="0" w:noHBand="0" w:noVBand="0" w:val="0020"/>
        <w:jc w:val="start"/>
      </w:tblPr>
      <w:tblGrid>
        <w:gridCol w:w="2592"/>
        <w:gridCol w:w="1008"/>
        <w:gridCol w:w="2088"/>
        <w:gridCol w:w="4104"/>
      </w:tblGrid>
      <w:tr>
        <w:trPr>
          <w:tblHeader w:val="true"/>
          <w:cantSplit/>
          <w:tblHeader/>
        </w:trPr>
        <w:tc>
          <w:tcPr>
            <w:tcW w:type="dxa" w:w="259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工作包</w:t>
            </w:r>
          </w:p>
        </w:tc>
        <w:tc>
          <w:tcPr>
            <w:tcW w:type="dxa" w:w="1008"/>
            <w:tcBorders>
              <w:top w:val="single" w:sz="4" w:color="D9D9D9"/>
              <w:left w:val="single" w:sz="4" w:color="D9D9D9"/>
              <w:bottom w:val="single" w:sz="4" w:color="D9D9D9"/>
              <w:right w:val="single" w:sz="4" w:color="D9D9D9"/>
            </w:tcBorders>
            <w:shd w:fill="DDE8F0"/>
          </w:tcPr>
          <w:p>
            <w:pPr>
              <w:pStyle w:val="Compact"/>
              <w:spacing w:after="80" w:before="80"/>
              <w:jc w:val="right"/>
            </w:pPr>
            <w:r>
              <w:rPr>
                <w:sz w:val="19"/>
              </w:rPr>
              <w:t xml:space="preserve">计划占比</w:t>
            </w:r>
          </w:p>
        </w:tc>
        <w:tc>
          <w:tcPr>
            <w:tcW w:type="dxa" w:w="2088"/>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性质</w:t>
            </w:r>
          </w:p>
        </w:tc>
        <w:tc>
          <w:tcPr>
            <w:tcW w:type="dxa" w:w="4104"/>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必须交付的证据</w:t>
            </w:r>
          </w:p>
        </w:tc>
      </w:tr>
      <w:tr>
        <w:trPr>
          <w:cantSplit/>
        </w:trPr>
        <w:tc>
          <w:tcPr>
            <w:tcW w:type="dxa" w:w="25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数据审计与预测协议</w:t>
            </w:r>
          </w:p>
        </w:tc>
        <w:tc>
          <w:tcPr>
            <w:tcW w:type="dxa" w:w="1008"/>
            <w:tcBorders>
              <w:top w:val="single" w:sz="4" w:color="D9D9D9"/>
              <w:left w:val="single" w:sz="4" w:color="D9D9D9"/>
              <w:bottom w:val="single" w:sz="4" w:color="D9D9D9"/>
              <w:right w:val="single" w:sz="4" w:color="D9D9D9"/>
            </w:tcBorders>
            <w:shd w:fill="FFFFFF"/>
          </w:tcPr>
          <w:p>
            <w:pPr>
              <w:pStyle w:val="Compact"/>
              <w:spacing w:after="80" w:before="80"/>
              <w:jc w:val="right"/>
            </w:pPr>
            <w:r>
              <w:rPr>
                <w:sz w:val="19"/>
              </w:rPr>
              <w:t xml:space="preserve">20%</w:t>
            </w:r>
          </w:p>
        </w:tc>
        <w:tc>
          <w:tcPr>
            <w:tcW w:type="dxa" w:w="2088"/>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必要基础</w:t>
            </w:r>
          </w:p>
        </w:tc>
        <w:tc>
          <w:tcPr>
            <w:tcW w:type="dxa" w:w="41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缺失审计、样本流转、时间信息检查</w:t>
            </w:r>
          </w:p>
        </w:tc>
      </w:tr>
      <w:tr>
        <w:trPr>
          <w:cantSplit/>
        </w:trPr>
        <w:tc>
          <w:tcPr>
            <w:tcW w:type="dxa" w:w="259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文献与强基准复现</w:t>
            </w:r>
          </w:p>
        </w:tc>
        <w:tc>
          <w:tcPr>
            <w:tcW w:type="dxa" w:w="1008"/>
            <w:tcBorders>
              <w:top w:val="single" w:sz="4" w:color="D9D9D9"/>
              <w:left w:val="single" w:sz="4" w:color="D9D9D9"/>
              <w:bottom w:val="single" w:sz="4" w:color="D9D9D9"/>
              <w:right w:val="single" w:sz="4" w:color="D9D9D9"/>
            </w:tcBorders>
            <w:shd w:fill="F6F8FA"/>
          </w:tcPr>
          <w:p>
            <w:pPr>
              <w:pStyle w:val="Compact"/>
              <w:spacing w:after="80" w:before="80"/>
              <w:jc w:val="right"/>
            </w:pPr>
            <w:r>
              <w:rPr>
                <w:sz w:val="19"/>
              </w:rPr>
              <w:t xml:space="preserve">20%</w:t>
            </w:r>
          </w:p>
        </w:tc>
        <w:tc>
          <w:tcPr>
            <w:tcW w:type="dxa" w:w="2088"/>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必要基础</w:t>
            </w:r>
          </w:p>
        </w:tc>
        <w:tc>
          <w:tcPr>
            <w:tcW w:type="dxa" w:w="41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最近邻文献矩阵、统一输入下的模型比较</w:t>
            </w:r>
          </w:p>
        </w:tc>
      </w:tr>
      <w:tr>
        <w:trPr>
          <w:cantSplit/>
        </w:trPr>
        <w:tc>
          <w:tcPr>
            <w:tcW w:type="dxa" w:w="25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可靠性约束的有符号构图</w:t>
            </w:r>
          </w:p>
        </w:tc>
        <w:tc>
          <w:tcPr>
            <w:tcW w:type="dxa" w:w="1008"/>
            <w:tcBorders>
              <w:top w:val="single" w:sz="4" w:color="D9D9D9"/>
              <w:left w:val="single" w:sz="4" w:color="D9D9D9"/>
              <w:bottom w:val="single" w:sz="4" w:color="D9D9D9"/>
              <w:right w:val="single" w:sz="4" w:color="D9D9D9"/>
            </w:tcBorders>
            <w:shd w:fill="FFFFFF"/>
          </w:tcPr>
          <w:p>
            <w:pPr>
              <w:pStyle w:val="Compact"/>
              <w:spacing w:after="80" w:before="80"/>
              <w:jc w:val="right"/>
            </w:pPr>
            <w:r>
              <w:rPr>
                <w:sz w:val="19"/>
              </w:rPr>
              <w:t xml:space="preserve">20%</w:t>
            </w:r>
          </w:p>
        </w:tc>
        <w:tc>
          <w:tcPr>
            <w:tcW w:type="dxa" w:w="2088"/>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创新候选一</w:t>
            </w:r>
          </w:p>
        </w:tc>
        <w:tc>
          <w:tcPr>
            <w:tcW w:type="dxa" w:w="41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直接相关图、收缩图、可靠性图的比较</w:t>
            </w:r>
          </w:p>
        </w:tc>
      </w:tr>
      <w:tr>
        <w:trPr>
          <w:cantSplit/>
        </w:trPr>
        <w:tc>
          <w:tcPr>
            <w:tcW w:type="dxa" w:w="259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成对暴露与基准风险修正</w:t>
            </w:r>
          </w:p>
        </w:tc>
        <w:tc>
          <w:tcPr>
            <w:tcW w:type="dxa" w:w="1008"/>
            <w:tcBorders>
              <w:top w:val="single" w:sz="4" w:color="D9D9D9"/>
              <w:left w:val="single" w:sz="4" w:color="D9D9D9"/>
              <w:bottom w:val="single" w:sz="4" w:color="D9D9D9"/>
              <w:right w:val="single" w:sz="4" w:color="D9D9D9"/>
            </w:tcBorders>
            <w:shd w:fill="F6F8FA"/>
          </w:tcPr>
          <w:p>
            <w:pPr>
              <w:pStyle w:val="Compact"/>
              <w:spacing w:after="80" w:before="80"/>
              <w:jc w:val="right"/>
            </w:pPr>
            <w:r>
              <w:rPr>
                <w:sz w:val="19"/>
              </w:rPr>
              <w:t xml:space="preserve">25%</w:t>
            </w:r>
          </w:p>
        </w:tc>
        <w:tc>
          <w:tcPr>
            <w:tcW w:type="dxa" w:w="2088"/>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创新候选二</w:t>
            </w:r>
          </w:p>
        </w:tc>
        <w:tc>
          <w:tcPr>
            <w:tcW w:type="dxa" w:w="41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普通池化、固定二次项、学习成对项的比较</w:t>
            </w:r>
          </w:p>
        </w:tc>
      </w:tr>
      <w:tr>
        <w:trPr>
          <w:cantSplit/>
        </w:trPr>
        <w:tc>
          <w:tcPr>
            <w:tcW w:type="dxa" w:w="25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经济边界与失败案例分析</w:t>
            </w:r>
          </w:p>
        </w:tc>
        <w:tc>
          <w:tcPr>
            <w:tcW w:type="dxa" w:w="1008"/>
            <w:tcBorders>
              <w:top w:val="single" w:sz="4" w:color="D9D9D9"/>
              <w:left w:val="single" w:sz="4" w:color="D9D9D9"/>
              <w:bottom w:val="single" w:sz="4" w:color="D9D9D9"/>
              <w:right w:val="single" w:sz="4" w:color="D9D9D9"/>
            </w:tcBorders>
            <w:shd w:fill="FFFFFF"/>
          </w:tcPr>
          <w:p>
            <w:pPr>
              <w:pStyle w:val="Compact"/>
              <w:spacing w:after="80" w:before="80"/>
              <w:jc w:val="right"/>
            </w:pPr>
            <w:r>
              <w:rPr>
                <w:sz w:val="19"/>
              </w:rPr>
              <w:t xml:space="preserve">15%</w:t>
            </w:r>
          </w:p>
        </w:tc>
        <w:tc>
          <w:tcPr>
            <w:tcW w:type="dxa" w:w="2088"/>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实证贡献候选</w:t>
            </w:r>
          </w:p>
        </w:tc>
        <w:tc>
          <w:tcPr>
            <w:tcW w:type="dxa" w:w="41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样本外分层、稳定性、失效条件</w:t>
            </w:r>
          </w:p>
        </w:tc>
      </w:tr>
    </w:tbl>
    <w:p>
      <w:pPr>
        <w:pStyle w:val="BodyText"/>
      </w:pPr>
      <w:r>
        <w:t xml:space="preserve">候选一不是发明收缩估计或正负图，而是针对短年度贸易序列，把符号稳定性、共同观测覆盖和经济体剔除后的市场关系组合为可审计的图输入。候选二不是首次使用交互项，而是让风险修正依赖出口份额的成对暴露，并将其与成熟的表格模型和传统组合风险同台比较。两者均需在相近方法中查重。</w:t>
      </w:r>
    </w:p>
    <w:p>
      <w:pPr>
        <w:pStyle w:val="BodyText"/>
      </w:pPr>
      <w:r>
        <w:t xml:space="preserve">每项贡献至少要经过三道判断：已有工作是否已经给出相同问题与机制；最强简单替代是否已经解决问题；新增结构是否在未参与选模的年份表现稳定。只有通过这些判断，才能在终稿中使用“提出并验证”而不是“拟检验”。不写“首次”或“填补空白”，除非完成足够系统的证据核查。</w:t>
      </w:r>
    </w:p>
    <w:bookmarkEnd w:id="24"/>
    <w:bookmarkStart w:id="25" w:name="三-文献位置与阅读任务"/>
    <w:p>
      <w:pPr>
        <w:pStyle w:val="Heading2"/>
      </w:pPr>
      <w:r>
        <w:t xml:space="preserve">三 文献位置与阅读任务</w:t>
      </w:r>
    </w:p>
    <w:p>
      <w:pPr>
        <w:pStyle w:val="FirstParagraph"/>
      </w:pPr>
      <w:r>
        <w:t xml:space="preserve">Esposito（2022）已讨论目的地需求相关性与贸易风险分散，因此“相关性影响分散效果”是理论起点。Minakawa等（IEEE Big Data 2022，2024年上传预印本）已经研究贸易引力与图自编码，不能把“GNN用于贸易”当创新。Kim等（2026）研究贸易急剧下降在超图中的聚集与传播，必须区分其传播分析与本项目的信息时点受限、产品总出口下行分类任务。上述差别只是定位，尚不足以证明没有更近研究。</w:t>
      </w:r>
    </w:p>
    <w:p>
      <w:pPr>
        <w:pStyle w:val="BodyText"/>
      </w:pPr>
      <w:r>
        <w:t xml:space="preserve">KDD 2025的Enhancer可借鉴关系变化与时间变化共同影响预测的研究思路；TabReD（ICLR 2025）提示表格预测应重视时间划分。XGBoost、图注意力、协方差收缩均为成熟组件。用户提供的DriftHunter论文仅用作写作结构参考，不作为贸易模型的理论来源。</w:t>
      </w:r>
    </w:p>
    <w:p>
      <w:pPr>
        <w:pStyle w:val="BodyText"/>
      </w:pPr>
      <w:r>
        <w:t xml:space="preserve">正式实验前制作“研究对象—预测目标—数据—信息时点—图关系—份额暴露—可靠性处理—公开代码”八列矩阵。优先精读以上最近邻及其引用、后续文献，围绕 signed graph、portfolio exposure、pairwise pooling、trade downside risk 检索。若相近方法已覆盖设计，应调整贡献定位或直接纳入基准，不能只改名称。</w:t>
      </w:r>
    </w:p>
    <w:bookmarkEnd w:id="25"/>
    <w:bookmarkStart w:id="29" w:name="四-数据来源与可实施范围"/>
    <w:p>
      <w:pPr>
        <w:pStyle w:val="Heading2"/>
      </w:pPr>
      <w:r>
        <w:t xml:space="preserve">四 数据来源与可实施范围</w:t>
      </w:r>
    </w:p>
    <w:bookmarkStart w:id="26" w:name="数据清单"/>
    <w:p>
      <w:pPr>
        <w:pStyle w:val="Heading3"/>
      </w:pPr>
      <w:r>
        <w:t xml:space="preserve">1 数据清单</w:t>
      </w:r>
    </w:p>
    <w:tbl>
      <w:tblPr>
        <w:tblStyle w:val="Table"/>
        <w:tblW w:type="pct" w:w="5000"/>
        <w:tblLayout w:type="fixed"/>
        <w:tblLook w:firstRow="1" w:lastRow="0" w:firstColumn="0" w:lastColumn="0" w:noHBand="0" w:noVBand="0" w:val="0020"/>
        <w:jc w:val="start"/>
      </w:tblPr>
      <w:tblGrid>
        <w:gridCol w:w="2232"/>
        <w:gridCol w:w="2952"/>
        <w:gridCol w:w="1512"/>
        <w:gridCol w:w="3096"/>
      </w:tblGrid>
      <w:tr>
        <w:trPr>
          <w:tblHeader w:val="true"/>
          <w:cantSplit/>
          <w:tblHeader/>
        </w:trPr>
        <w:tc>
          <w:tcPr>
            <w:tcW w:type="dxa" w:w="223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来源</w:t>
            </w:r>
          </w:p>
        </w:tc>
        <w:tc>
          <w:tcPr>
            <w:tcW w:type="dxa" w:w="295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所需内容</w:t>
            </w:r>
          </w:p>
        </w:tc>
        <w:tc>
          <w:tcPr>
            <w:tcW w:type="dxa" w:w="151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角色</w:t>
            </w:r>
          </w:p>
        </w:tc>
        <w:tc>
          <w:tcPr>
            <w:tcW w:type="dxa" w:w="3096"/>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核心处理</w:t>
            </w:r>
          </w:p>
        </w:tc>
      </w:tr>
      <w:tr>
        <w:trPr>
          <w:cantSplit/>
        </w:trPr>
        <w:tc>
          <w:tcPr>
            <w:tcW w:type="dxa" w:w="223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BACI HS92 V202601</w:t>
            </w:r>
          </w:p>
        </w:tc>
        <w:tc>
          <w:tcPr>
            <w:tcW w:type="dxa" w:w="295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1995—2024年全球双边六位产品贸易额与重量</w:t>
            </w:r>
          </w:p>
        </w:tc>
        <w:tc>
          <w:tcPr>
            <w:tcW w:type="dxa" w:w="15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核心</w:t>
            </w:r>
          </w:p>
        </w:tc>
        <w:tc>
          <w:tcPr>
            <w:tcW w:type="dxa" w:w="309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分年分块读取并聚合至HS4</w:t>
            </w:r>
          </w:p>
        </w:tc>
      </w:tr>
      <w:tr>
        <w:trPr>
          <w:cantSplit/>
        </w:trPr>
        <w:tc>
          <w:tcPr>
            <w:tcW w:type="dxa" w:w="223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BACI国家代码表</w:t>
            </w:r>
          </w:p>
        </w:tc>
        <w:tc>
          <w:tcPr>
            <w:tcW w:type="dxa" w:w="295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BACI代码、国家名、ISO代码</w:t>
            </w:r>
          </w:p>
        </w:tc>
        <w:tc>
          <w:tcPr>
            <w:tcW w:type="dxa" w:w="15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必需</w:t>
            </w:r>
          </w:p>
        </w:tc>
        <w:tc>
          <w:tcPr>
            <w:tcW w:type="dxa" w:w="309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建立映射，不按名称模糊合并</w:t>
            </w:r>
          </w:p>
        </w:tc>
      </w:tr>
      <w:tr>
        <w:trPr>
          <w:cantSplit/>
        </w:trPr>
        <w:tc>
          <w:tcPr>
            <w:tcW w:type="dxa" w:w="223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BACI产品代码表</w:t>
            </w:r>
          </w:p>
        </w:tc>
        <w:tc>
          <w:tcPr>
            <w:tcW w:type="dxa" w:w="295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HS92六位产品名称</w:t>
            </w:r>
          </w:p>
        </w:tc>
        <w:tc>
          <w:tcPr>
            <w:tcW w:type="dxa" w:w="15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必需</w:t>
            </w:r>
          </w:p>
        </w:tc>
        <w:tc>
          <w:tcPr>
            <w:tcW w:type="dxa" w:w="309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编码补足六位并保留字符串</w:t>
            </w:r>
          </w:p>
        </w:tc>
      </w:tr>
      <w:tr>
        <w:trPr>
          <w:cantSplit/>
        </w:trPr>
        <w:tc>
          <w:tcPr>
            <w:tcW w:type="dxa" w:w="223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WDI GDP增长</w:t>
            </w:r>
          </w:p>
        </w:tc>
        <w:tc>
          <w:tcPr>
            <w:tcW w:type="dxa" w:w="295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NY.GDP.MKTP.KD.ZG</w:t>
            </w:r>
          </w:p>
        </w:tc>
        <w:tc>
          <w:tcPr>
            <w:tcW w:type="dxa" w:w="15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宏观控制</w:t>
            </w:r>
          </w:p>
        </w:tc>
        <w:tc>
          <w:tcPr>
            <w:tcW w:type="dxa" w:w="309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国家年份对齐，保留缺失指示</w:t>
            </w:r>
          </w:p>
        </w:tc>
      </w:tr>
      <w:tr>
        <w:trPr>
          <w:cantSplit/>
        </w:trPr>
        <w:tc>
          <w:tcPr>
            <w:tcW w:type="dxa" w:w="223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WDI GDP规模</w:t>
            </w:r>
          </w:p>
        </w:tc>
        <w:tc>
          <w:tcPr>
            <w:tcW w:type="dxa" w:w="295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NY.GDP.MKTP.CD</w:t>
            </w:r>
          </w:p>
        </w:tc>
        <w:tc>
          <w:tcPr>
            <w:tcW w:type="dxa" w:w="15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市场规模</w:t>
            </w:r>
          </w:p>
        </w:tc>
        <w:tc>
          <w:tcPr>
            <w:tcW w:type="dxa" w:w="309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对数变换，剔除区域汇总项</w:t>
            </w:r>
          </w:p>
        </w:tc>
      </w:tr>
      <w:tr>
        <w:trPr>
          <w:cantSplit/>
        </w:trPr>
        <w:tc>
          <w:tcPr>
            <w:tcW w:type="dxa" w:w="223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WDI CPI通胀</w:t>
            </w:r>
          </w:p>
        </w:tc>
        <w:tc>
          <w:tcPr>
            <w:tcW w:type="dxa" w:w="295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FP.CPI.TOTL.ZG</w:t>
            </w:r>
          </w:p>
        </w:tc>
        <w:tc>
          <w:tcPr>
            <w:tcW w:type="dxa" w:w="15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价格环境控制</w:t>
            </w:r>
          </w:p>
        </w:tc>
        <w:tc>
          <w:tcPr>
            <w:tcW w:type="dxa" w:w="309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不充当产品出口平减指数</w:t>
            </w:r>
          </w:p>
        </w:tc>
      </w:tr>
    </w:tbl>
    <w:p>
      <w:pPr>
        <w:pStyle w:val="BodyText"/>
      </w:pPr>
      <w:r>
        <w:t xml:space="preserve">BACI官方下载：https://www.cepii.fr/DATA_DOWNLOAD/baci/data/BACI_HS92_V202601.zip 。研究统一发布版本，不混用版本。原始包约2.42GB、解压约8.77GB，前期已验证下载与目录。WDI原始文件保留下载日期与说明，处理时只取实际国家或经济体，不把“世界”等区域总计作为节点。</w:t>
      </w:r>
    </w:p>
    <w:bookmarkEnd w:id="26"/>
    <w:bookmarkStart w:id="27" w:name="样本设计"/>
    <w:p>
      <w:pPr>
        <w:pStyle w:val="Heading3"/>
      </w:pPr>
      <w:r>
        <w:t xml:space="preserve">2 样本设计</w:t>
      </w:r>
    </w:p>
    <w:p>
      <w:pPr>
        <w:pStyle w:val="FirstParagraph"/>
      </w:pPr>
      <w:r>
        <w:t xml:space="preserve">先从HS84的四位产品开始，以1995—2006年平均出口规模和报告连续性选择约20个主要出口经济体，最终数量由审计决定。目的地集合按同一早期窗口确定，试验上限约40个，不能按2024年规模回选历史市场。保留全部目的地流量用于计算真实总出口、HHI和图外份额。</w:t>
      </w:r>
    </w:p>
    <w:p>
      <w:pPr>
        <w:pStyle w:val="BodyText"/>
      </w:pPr>
      <w:r>
        <w:t xml:space="preserve">对每条样本计算图覆盖的出口份额，主分析暂要求不低于90%；另报告放宽覆盖阈值和扩大目的地集合后的结果。这个筛选会偏向主要市场导向的出口组合，必须给出筛前筛后对照及被排除份额，不能把结果自动推广到全部贸易。若算力允许，优先扩大集合而非通过删除样本获得好结果。</w:t>
      </w:r>
    </w:p>
    <w:p>
      <w:pPr>
        <w:pStyle w:val="BodyText"/>
      </w:pPr>
      <w:r>
        <w:t xml:space="preserve">基准期出口规模门槛暂定100万美元，即BACI金额单位下的1000；同时检验10万、500万美元。门槛与产品范围仅据训练期审计及经济解释决定，冻结后再打开测试集。任何国家历史边界调整、领土合并、代码改变均应显式处理，不能直接把旧经济体视为今天的同名国家。</w:t>
      </w:r>
    </w:p>
    <w:bookmarkEnd w:id="27"/>
    <w:bookmarkStart w:id="28" w:name="数据审计清单"/>
    <w:p>
      <w:pPr>
        <w:pStyle w:val="Heading3"/>
      </w:pPr>
      <w:r>
        <w:t xml:space="preserve">3 数据审计清单</w:t>
      </w:r>
    </w:p>
    <w:p>
      <w:pPr>
        <w:pStyle w:val="FirstParagraph"/>
      </w:pPr>
      <w:r>
        <w:t xml:space="preserve">逐年检查键(t,i,j,k)是否唯一，金额是否正且有限，重量缺失及异常比例，代码映射成功率，年度国家覆盖和总额突变，产品名称与编码一致性。宏观合并前后行数不得无故膨胀；缺失值填补、异常截断和标准化只在训练期拟合。</w:t>
      </w:r>
    </w:p>
    <w:p>
      <w:pPr>
        <w:pStyle w:val="BodyText"/>
      </w:pPr>
      <w:r>
        <w:t xml:space="preserve">BACI只存正流量。对于未出现的流量，先区分合格报告覆盖下的无记录、整体未报告及代码变更。不能将全部缺失补零。对于下一年疑似完全退出的样本，仅在覆盖证据支持时标为零，否则标签记为未知并排除；另报告“仅持续正出口”和“确认退出也纳入”两个口径，以说明选择偏差。</w:t>
      </w:r>
    </w:p>
    <w:p>
      <w:pPr>
        <w:pStyle w:val="BodyText"/>
      </w:pPr>
      <w:r>
        <w:t xml:space="preserve">最终输出三张数据表：产品出口面板、剔除本国后的目的地进口面板、国家宏观面板；另输出逐步筛样表和逐年风险率。尚未观察的样本规模不得写成确定数字。</w:t>
      </w:r>
    </w:p>
    <w:bookmarkEnd w:id="28"/>
    <w:bookmarkEnd w:id="29"/>
    <w:bookmarkStart w:id="33" w:name="五-变量与信息时点"/>
    <w:p>
      <w:pPr>
        <w:pStyle w:val="Heading2"/>
      </w:pPr>
      <w:r>
        <w:t xml:space="preserve">五 变量与信息时点</w:t>
      </w:r>
    </w:p>
    <w:bookmarkStart w:id="30" w:name="目标与暴露"/>
    <w:p>
      <w:pPr>
        <w:pStyle w:val="Heading3"/>
      </w:pPr>
      <w:r>
        <w:t xml:space="preserve">1 目标与暴露</w:t>
      </w:r>
    </w:p>
    <w:p>
      <w:pPr>
        <w:pStyle w:val="FirstParagraph"/>
      </w:pPr>
      <w:r>
        <w:t xml:space="preserve">记V为某年某出口国对某目的地某产品的贸易额；主分析中产品k为HS4。定义：</w:t>
      </w:r>
    </w:p>
    <w:p>
      <w:pPr>
        <w:pStyle w:val="BodyText"/>
      </w:pPr>
      <m:oMathPara>
        <m:oMathParaPr>
          <m:jc m:val="center"/>
        </m:oMathParaPr>
        <m:oMath>
          <m:sSub>
            <m:e>
              <m:r>
                <m:t>X</m:t>
              </m:r>
            </m:e>
            <m:sub>
              <m:r>
                <m:t>i</m:t>
              </m:r>
              <m:r>
                <m:t>k</m:t>
              </m:r>
              <m:r>
                <m:t>t</m:t>
              </m:r>
            </m:sub>
          </m:sSub>
          <m:r>
            <m:rPr>
              <m:sty m:val="p"/>
            </m:rPr>
            <m:t>=</m:t>
          </m:r>
          <m:nary>
            <m:naryPr>
              <m:chr m:val="∑"/>
              <m:limLoc m:val="undOvr"/>
              <m:subHide m:val="off"/>
              <m:supHide m:val="on"/>
            </m:naryPr>
            <m:sub>
              <m:r>
                <m:t>j</m:t>
              </m:r>
            </m:sub>
            <m:sup>
              <m:r>
                <m:t>​</m:t>
              </m:r>
            </m:sup>
            <m:e>
              <m:sSub>
                <m:e>
                  <m:r>
                    <m:t>V</m:t>
                  </m:r>
                </m:e>
                <m:sub>
                  <m:r>
                    <m:t>i</m:t>
                  </m:r>
                  <m:r>
                    <m:t>j</m:t>
                  </m:r>
                  <m:r>
                    <m:t>k</m:t>
                  </m:r>
                  <m:r>
                    <m:t>t</m:t>
                  </m:r>
                </m:sub>
              </m:sSub>
            </m:e>
          </m:nary>
          <m:r>
            <m:rPr>
              <m:sty m:val="p"/>
            </m:rPr>
            <m:t>,</m:t>
          </m:r>
          <m:r>
            <m:t>  </m:t>
          </m:r>
          <m:sSub>
            <m:e>
              <m:r>
                <m:t>s</m:t>
              </m:r>
            </m:e>
            <m:sub>
              <m:r>
                <m:t>i</m:t>
              </m:r>
              <m:r>
                <m:t>j</m:t>
              </m:r>
              <m:r>
                <m:t>k</m:t>
              </m:r>
              <m:r>
                <m:t>t</m:t>
              </m:r>
            </m:sub>
          </m:sSub>
          <m:r>
            <m:rPr>
              <m:sty m:val="p"/>
            </m:rPr>
            <m:t>=</m:t>
          </m:r>
          <m:sSub>
            <m:e>
              <m:r>
                <m:t>V</m:t>
              </m:r>
            </m:e>
            <m:sub>
              <m:r>
                <m:t>i</m:t>
              </m:r>
              <m:r>
                <m:t>j</m:t>
              </m:r>
              <m:r>
                <m:t>k</m:t>
              </m:r>
              <m:r>
                <m:t>t</m:t>
              </m:r>
            </m:sub>
          </m:sSub>
          <m:r>
            <m:rPr>
              <m:sty m:val="p"/>
            </m:rPr>
            <m:t>/</m:t>
          </m:r>
          <m:sSub>
            <m:e>
              <m:r>
                <m:t>X</m:t>
              </m:r>
            </m:e>
            <m:sub>
              <m:r>
                <m:t>i</m:t>
              </m:r>
              <m:r>
                <m:t>k</m:t>
              </m:r>
              <m:r>
                <m:t>t</m:t>
              </m:r>
            </m:sub>
          </m:sSub>
          <m:r>
            <m:rPr>
              <m:sty m:val="p"/>
            </m:rPr>
            <m:t>.</m:t>
          </m:r>
        </m:oMath>
      </m:oMathPara>
    </w:p>
    <w:p>
      <w:pPr>
        <w:pStyle w:val="FirstParagraph"/>
      </w:pPr>
      <m:oMathPara>
        <m:oMathParaPr>
          <m:jc m:val="center"/>
        </m:oMathParaPr>
        <m:oMath>
          <m:sSub>
            <m:e>
              <m:r>
                <m:t>H</m:t>
              </m:r>
            </m:e>
            <m:sub>
              <m:r>
                <m:t>i</m:t>
              </m:r>
              <m:r>
                <m:t>k</m:t>
              </m:r>
              <m:r>
                <m:t>t</m:t>
              </m:r>
            </m:sub>
          </m:sSub>
          <m:r>
            <m:rPr>
              <m:sty m:val="p"/>
            </m:rPr>
            <m:t>=</m:t>
          </m:r>
          <m:nary>
            <m:naryPr>
              <m:chr m:val="∑"/>
              <m:limLoc m:val="undOvr"/>
              <m:subHide m:val="off"/>
              <m:supHide m:val="on"/>
            </m:naryPr>
            <m:sub>
              <m:r>
                <m:t>j</m:t>
              </m:r>
            </m:sub>
            <m:sup>
              <m:r>
                <m:t>​</m:t>
              </m:r>
            </m:sup>
            <m:e>
              <m:sSubSup>
                <m:e>
                  <m:r>
                    <m:t>s</m:t>
                  </m:r>
                </m:e>
                <m:sub>
                  <m:r>
                    <m:t>i</m:t>
                  </m:r>
                  <m:r>
                    <m:t>j</m:t>
                  </m:r>
                  <m:r>
                    <m:t>k</m:t>
                  </m:r>
                  <m:r>
                    <m:t>t</m:t>
                  </m:r>
                </m:sub>
                <m:sup>
                  <m:r>
                    <m:t>2</m:t>
                  </m:r>
                </m:sup>
              </m:sSubSup>
            </m:e>
          </m:nary>
          <m:r>
            <m:rPr>
              <m:sty m:val="p"/>
            </m:rPr>
            <m:t>,</m:t>
          </m:r>
          <m:r>
            <m:t>  </m:t>
          </m:r>
          <m:sSub>
            <m:e>
              <m:r>
                <m:t>Y</m:t>
              </m:r>
            </m:e>
            <m:sub>
              <m:r>
                <m:t>i</m:t>
              </m:r>
              <m:r>
                <m:t>k</m:t>
              </m:r>
              <m:r>
                <m:t>t</m:t>
              </m:r>
            </m:sub>
          </m:sSub>
          <m:r>
            <m:rPr>
              <m:sty m:val="p"/>
            </m:rPr>
            <m:t>=</m:t>
          </m:r>
          <m:r>
            <m:rPr>
              <m:sty m:val="b"/>
            </m:rPr>
            <m:t>1</m:t>
          </m:r>
          <m:r>
            <m:rPr>
              <m:sty m:val="p"/>
            </m:rPr>
            <m:t>{</m:t>
          </m:r>
          <m:sSub>
            <m:e>
              <m:r>
                <m:t>X</m:t>
              </m:r>
            </m:e>
            <m:sub>
              <m:r>
                <m:t>i</m:t>
              </m:r>
              <m:r>
                <m:t>k</m:t>
              </m:r>
              <m:r>
                <m:rPr>
                  <m:sty m:val="p"/>
                </m:rPr>
                <m:t>,</m:t>
              </m:r>
              <m:r>
                <m:t>t</m:t>
              </m:r>
              <m:r>
                <m:rPr>
                  <m:sty m:val="p"/>
                </m:rPr>
                <m:t>+</m:t>
              </m:r>
              <m:r>
                <m:t>1</m:t>
              </m:r>
            </m:sub>
          </m:sSub>
          <m:r>
            <m:rPr>
              <m:sty m:val="p"/>
            </m:rPr>
            <m:t>/</m:t>
          </m:r>
          <m:sSub>
            <m:e>
              <m:r>
                <m:t>X</m:t>
              </m:r>
            </m:e>
            <m:sub>
              <m:r>
                <m:t>i</m:t>
              </m:r>
              <m:r>
                <m:t>k</m:t>
              </m:r>
              <m:r>
                <m:t>t</m:t>
              </m:r>
            </m:sub>
          </m:sSub>
          <m:r>
            <m:rPr>
              <m:sty m:val="p"/>
            </m:rPr>
            <m:t>−</m:t>
          </m:r>
          <m:r>
            <m:t>1</m:t>
          </m:r>
          <m:r>
            <m:rPr>
              <m:sty m:val="p"/>
            </m:rPr>
            <m:t>&lt;</m:t>
          </m:r>
          <m:r>
            <m:rPr>
              <m:sty m:val="p"/>
            </m:rPr>
            <m:t>−</m:t>
          </m:r>
          <m:r>
            <m:t>δ</m:t>
          </m:r>
          <m:r>
            <m:rPr>
              <m:sty m:val="p"/>
            </m:rPr>
            <m:t>}</m:t>
          </m:r>
          <m:r>
            <m:rPr>
              <m:sty m:val="p"/>
            </m:rPr>
            <m:t>.</m:t>
          </m:r>
        </m:oMath>
      </m:oMathPara>
    </w:p>
    <w:p>
      <w:pPr>
        <w:pStyle w:val="FirstParagraph"/>
      </w:pPr>
      <w:r>
        <w:t xml:space="preserve">主阈值δ为0.20，稳健性阈值0.10与0.30。只有基期出口规模、下一年覆盖和代码一致性合格时，标签才有效。2024年可用于2023样本的结果；2024样本没有2025标签，不能作为已知结果样本。</w:t>
      </w:r>
    </w:p>
    <w:bookmarkEnd w:id="30"/>
    <w:bookmarkStart w:id="31" w:name="外部市场变化"/>
    <w:p>
      <w:pPr>
        <w:pStyle w:val="Heading3"/>
      </w:pPr>
      <w:r>
        <w:t xml:space="preserve">2 外部市场变化</w:t>
      </w:r>
    </w:p>
    <w:p>
      <w:pPr>
        <w:pStyle w:val="FirstParagraph"/>
      </w:pPr>
      <m:oMathPara>
        <m:oMathParaPr>
          <m:jc m:val="center"/>
        </m:oMathParaPr>
        <m:oMath>
          <m:sSubSup>
            <m:e>
              <m:r>
                <m:t>M</m:t>
              </m:r>
            </m:e>
            <m:sub>
              <m:r>
                <m:t>j</m:t>
              </m:r>
              <m:r>
                <m:t>k</m:t>
              </m:r>
              <m:r>
                <m:t>t</m:t>
              </m:r>
            </m:sub>
            <m:sup>
              <m:d>
                <m:dPr>
                  <m:begChr m:val="("/>
                  <m:endChr m:val=")"/>
                  <m:sepChr m:val=""/>
                  <m:grow/>
                </m:dPr>
                <m:e>
                  <m:r>
                    <m:rPr>
                      <m:sty m:val="p"/>
                    </m:rPr>
                    <m:t>−</m:t>
                  </m:r>
                  <m:r>
                    <m:t>i</m:t>
                  </m:r>
                </m:e>
              </m:d>
            </m:sup>
          </m:sSubSup>
          <m:r>
            <m:rPr>
              <m:sty m:val="p"/>
            </m:rPr>
            <m:t>=</m:t>
          </m:r>
          <m:nary>
            <m:naryPr>
              <m:chr m:val="∑"/>
              <m:limLoc m:val="undOvr"/>
              <m:subHide m:val="off"/>
              <m:supHide m:val="on"/>
            </m:naryPr>
            <m:sub>
              <m:r>
                <m:t>h</m:t>
              </m:r>
              <m:r>
                <m:rPr>
                  <m:sty m:val="p"/>
                </m:rPr>
                <m:t>≠</m:t>
              </m:r>
              <m:r>
                <m:t>i</m:t>
              </m:r>
            </m:sub>
            <m:sup>
              <m:r>
                <m:t>​</m:t>
              </m:r>
            </m:sup>
            <m:e>
              <m:sSub>
                <m:e>
                  <m:r>
                    <m:t>V</m:t>
                  </m:r>
                </m:e>
                <m:sub>
                  <m:r>
                    <m:t>h</m:t>
                  </m:r>
                  <m:r>
                    <m:t>j</m:t>
                  </m:r>
                  <m:r>
                    <m:t>k</m:t>
                  </m:r>
                  <m:r>
                    <m:t>t</m:t>
                  </m:r>
                </m:sub>
              </m:sSub>
            </m:e>
          </m:nary>
          <m:r>
            <m:rPr>
              <m:sty m:val="p"/>
            </m:rPr>
            <m:t>.</m:t>
          </m:r>
        </m:oMath>
      </m:oMathPara>
    </w:p>
    <w:p>
      <w:pPr>
        <w:pStyle w:val="FirstParagraph"/>
      </w:pPr>
      <m:oMathPara>
        <m:oMathParaPr>
          <m:jc m:val="center"/>
        </m:oMathParaPr>
        <m:oMath>
          <m:sSubSup>
            <m:e>
              <m:r>
                <m:t>u</m:t>
              </m:r>
            </m:e>
            <m:sub>
              <m:r>
                <m:t>j</m:t>
              </m:r>
              <m:r>
                <m:t>k</m:t>
              </m:r>
              <m:r>
                <m:t>t</m:t>
              </m:r>
            </m:sub>
            <m:sup>
              <m:d>
                <m:dPr>
                  <m:begChr m:val="("/>
                  <m:endChr m:val=")"/>
                  <m:sepChr m:val=""/>
                  <m:grow/>
                </m:dPr>
                <m:e>
                  <m:r>
                    <m:rPr>
                      <m:sty m:val="p"/>
                    </m:rPr>
                    <m:t>−</m:t>
                  </m:r>
                  <m:r>
                    <m:t>i</m:t>
                  </m:r>
                </m:e>
              </m:d>
            </m:sup>
          </m:sSubSup>
          <m:r>
            <m:rPr>
              <m:sty m:val="p"/>
            </m:rPr>
            <m:t>=</m:t>
          </m:r>
          <m:r>
            <m:rPr>
              <m:sty m:val="p"/>
            </m:rPr>
            <m:t>log</m:t>
          </m:r>
          <m:d>
            <m:dPr>
              <m:begChr m:val="("/>
              <m:endChr m:val=")"/>
              <m:sepChr m:val=""/>
              <m:grow/>
            </m:dPr>
            <m:e>
              <m:r>
                <m:t>1</m:t>
              </m:r>
              <m:r>
                <m:rPr>
                  <m:sty m:val="p"/>
                </m:rPr>
                <m:t>+</m:t>
              </m:r>
              <m:sSubSup>
                <m:e>
                  <m:r>
                    <m:t>M</m:t>
                  </m:r>
                </m:e>
                <m:sub>
                  <m:r>
                    <m:t>j</m:t>
                  </m:r>
                  <m:r>
                    <m:t>k</m:t>
                  </m:r>
                  <m:r>
                    <m:t>t</m:t>
                  </m:r>
                </m:sub>
                <m:sup>
                  <m:d>
                    <m:dPr>
                      <m:begChr m:val="("/>
                      <m:endChr m:val=")"/>
                      <m:sepChr m:val=""/>
                      <m:grow/>
                    </m:dPr>
                    <m:e>
                      <m:r>
                        <m:rPr>
                          <m:sty m:val="p"/>
                        </m:rPr>
                        <m:t>−</m:t>
                      </m:r>
                      <m:r>
                        <m:t>i</m:t>
                      </m:r>
                    </m:e>
                  </m:d>
                </m:sup>
              </m:sSubSup>
            </m:e>
          </m:d>
          <m:r>
            <m:rPr>
              <m:sty m:val="p"/>
            </m:rPr>
            <m:t>−</m:t>
          </m:r>
          <m:r>
            <m:rPr>
              <m:sty m:val="p"/>
            </m:rPr>
            <m:t>log</m:t>
          </m:r>
          <m:d>
            <m:dPr>
              <m:begChr m:val="("/>
              <m:endChr m:val=")"/>
              <m:sepChr m:val=""/>
              <m:grow/>
            </m:dPr>
            <m:e>
              <m:r>
                <m:t>1</m:t>
              </m:r>
              <m:r>
                <m:rPr>
                  <m:sty m:val="p"/>
                </m:rPr>
                <m:t>+</m:t>
              </m:r>
              <m:sSubSup>
                <m:e>
                  <m:r>
                    <m:t>M</m:t>
                  </m:r>
                </m:e>
                <m:sub>
                  <m:r>
                    <m:t>j</m:t>
                  </m:r>
                  <m:r>
                    <m:t>k</m:t>
                  </m:r>
                  <m:r>
                    <m:rPr>
                      <m:sty m:val="p"/>
                    </m:rPr>
                    <m:t>,</m:t>
                  </m:r>
                  <m:r>
                    <m:t>t</m:t>
                  </m:r>
                  <m:r>
                    <m:rPr>
                      <m:sty m:val="p"/>
                    </m:rPr>
                    <m:t>−</m:t>
                  </m:r>
                  <m:r>
                    <m:t>1</m:t>
                  </m:r>
                </m:sub>
                <m:sup>
                  <m:d>
                    <m:dPr>
                      <m:begChr m:val="("/>
                      <m:endChr m:val=")"/>
                      <m:sepChr m:val=""/>
                      <m:grow/>
                    </m:dPr>
                    <m:e>
                      <m:r>
                        <m:rPr>
                          <m:sty m:val="p"/>
                        </m:rPr>
                        <m:t>−</m:t>
                      </m:r>
                      <m:r>
                        <m:t>i</m:t>
                      </m:r>
                    </m:e>
                  </m:d>
                </m:sup>
              </m:sSubSup>
            </m:e>
          </m:d>
          <m:r>
            <m:rPr>
              <m:sty m:val="p"/>
            </m:rPr>
            <m:t>.</m:t>
          </m:r>
        </m:oMath>
      </m:oMathPara>
    </w:p>
    <w:p>
      <w:pPr>
        <w:pStyle w:val="FirstParagraph"/>
      </w:pPr>
      <w:r>
        <w:t xml:space="preserve">金额固定使用千美元，因此“1”的数值尺度固定；低额节点另设门槛，不能把log(1+x)当作消除所有小额噪声的方法。所有求和都要求覆盖合格。外部进口减少可以来自需求、供给和价格，因此变量名称使用“进口变化”或“市场变化代理”。</w:t>
      </w:r>
    </w:p>
    <w:bookmarkEnd w:id="31"/>
    <w:bookmarkStart w:id="32" w:name="两个时点口径"/>
    <w:p>
      <w:pPr>
        <w:pStyle w:val="Heading3"/>
      </w:pPr>
      <w:r>
        <w:t xml:space="preserve">3 两个时点口径</w:t>
      </w:r>
    </w:p>
    <w:p>
      <w:pPr>
        <w:pStyle w:val="FirstParagraph"/>
      </w:pPr>
      <w:r>
        <w:t xml:space="preserve">主口径为历史信息集预测：使用截至t年的同版修订数据，预测t到t+1的下滑，明确属于回溯性样本外预测。保守口径仍预测同一结果，但全部特征、份额及关系仅用截至t−1年的数据；训练标签的可用时间也同步滞后。两种口径都不能伪装成使用当年实时发布版本的真实部署。</w:t>
      </w:r>
    </w:p>
    <w:p>
      <w:pPr>
        <w:pStyle w:val="BodyText"/>
      </w:pPr>
      <w:r>
        <w:t xml:space="preserve">所有滚动相关、节点筛选、标准化、图剪枝和宏观填补均禁止查看t+1。没有历史发布快照时，不能宣称已完全消除数据修订带来的前视偏差。</w:t>
      </w:r>
    </w:p>
    <w:bookmarkEnd w:id="32"/>
    <w:bookmarkEnd w:id="33"/>
    <w:bookmarkStart w:id="38" w:name="六-主模型的两项方法设计"/>
    <w:p>
      <w:pPr>
        <w:pStyle w:val="Heading2"/>
      </w:pPr>
      <w:r>
        <w:t xml:space="preserve">六 主模型的两项方法设计</w:t>
      </w:r>
    </w:p>
    <w:bookmarkStart w:id="34" w:name="基础分支"/>
    <w:p>
      <w:pPr>
        <w:pStyle w:val="Heading3"/>
      </w:pPr>
      <w:r>
        <w:t xml:space="preserve">1 基础分支</w:t>
      </w:r>
    </w:p>
    <w:p>
      <w:pPr>
        <w:pStyle w:val="FirstParagraph"/>
      </w:pPr>
      <w:r>
        <w:t xml:space="preserve">以XGBoost学习出口规模、过去1/3/5年增长与波动、目的地数量、HHI、最大目的地份额、宏观加权统计、图覆盖比例和缺失指示。强基准进一步加入组合方差、平均相关性和共同下行频率。逻辑回归与随机森林仅作为参照。</w:t>
      </w:r>
    </w:p>
    <w:p>
      <w:pPr>
        <w:pStyle w:val="BodyText"/>
      </w:pPr>
      <w:r>
        <w:t xml:space="preserve">图模块需要检验的是对这个强基准的增量价值，而不是对一个故意削弱的逻辑回归的提升。</w:t>
      </w:r>
    </w:p>
    <w:bookmarkEnd w:id="34"/>
    <w:bookmarkStart w:id="35" w:name="可靠性约束的有符号图"/>
    <w:p>
      <w:pPr>
        <w:pStyle w:val="Heading3"/>
      </w:pPr>
      <w:r>
        <w:t xml:space="preserve">2 可靠性约束的有符号图</w:t>
      </w:r>
    </w:p>
    <w:p>
      <w:pPr>
        <w:pStyle w:val="FirstParagraph"/>
      </w:pPr>
      <w:r>
        <w:t xml:space="preserve">每个(i,k,t)使用目的地历史进口变化构造关系，初始窗口L=8年，稳健性取12年。对一对目的地，在共同有效年份上计算相关系数。至少需要6个共同观测；否则边不存在。对样本相关系数作向零收缩，收缩强度仅由验证期选择。逐次删去一个共同年份，观察相关符号与数值是否稳定，形成0到1之间的可靠性分数。</w:t>
      </w:r>
    </w:p>
    <w:p>
      <w:pPr>
        <w:pStyle w:val="BodyText"/>
      </w:pPr>
      <w:r>
        <w:t xml:space="preserve">正相关与负相关分开建图。正图表示同步变化，负图表示历史反向变化；负图不直接解释为可靠的金融对冲。对每个节点只保留少量可靠边，降低小样本图的噪声与运算量。共同下行频率先作为强基准及可选关系，不在第一版叠加第三个复杂模块。</w:t>
      </w:r>
    </w:p>
    <w:p>
      <w:pPr>
        <w:pStyle w:val="BodyText"/>
      </w:pPr>
      <w:r>
        <w:t xml:space="preserve">该可靠性是启发式稳定性指标，不是统计置信概率。删一年检查不能解决序列自相关，毕业阶段可使用短块删除、替代窗口和收缩估计交叉验证。逐对缺失估计得到的相关矩阵可能非半正定；它只能作图邻接。组合方差基准另使用完整窗口或明确缺失处理后的半正定收缩协方差，不能混用。</w:t>
      </w:r>
    </w:p>
    <w:bookmarkEnd w:id="35"/>
    <w:bookmarkStart w:id="36" w:name="出口份额驱动的成对暴露"/>
    <w:p>
      <w:pPr>
        <w:pStyle w:val="Heading3"/>
      </w:pPr>
      <w:r>
        <w:t xml:space="preserve">3 出口份额驱动的成对暴露</w:t>
      </w:r>
    </w:p>
    <w:p>
      <w:pPr>
        <w:pStyle w:val="FirstParagraph"/>
      </w:pPr>
      <w:r>
        <w:t xml:space="preserve">普通图模型在编码后常对节点向量求平均。我们的改动是在份额加权节点汇总之外，增加两目的地的联合项。某出口组合对j和l的联合暴露使用</w:t>
      </w:r>
      <m:oMath>
        <m:sSub>
          <m:e>
            <m:r>
              <m:t>s</m:t>
            </m:r>
          </m:e>
          <m:sub>
            <m:r>
              <m:t>j</m:t>
            </m:r>
          </m:sub>
        </m:sSub>
        <m:sSub>
          <m:e>
            <m:r>
              <m:t>s</m:t>
            </m:r>
          </m:e>
          <m:sub>
            <m:r>
              <m:t>l</m:t>
            </m:r>
          </m:sub>
        </m:sSub>
      </m:oMath>
      <w:r>
        <w:t xml:space="preserve">；只有同时依赖二者，这条关系才对该组合产生较大权重。</w:t>
      </w:r>
    </w:p>
    <w:p>
      <w:pPr>
        <w:pStyle w:val="BodyText"/>
      </w:pPr>
      <w:r>
        <w:t xml:space="preserve">成对函数输入两端节点表示的乘积、绝对差、边符号/类型和可靠性，经小型共享MLP得到向量。正边和负边分别聚合。保留未归一化的份额乘积，避免把低联合暴露的组合强行放大为高暴露；同时输入HHI、图覆盖率、保留边暴露质量，帮助区分真实低风险与信息缺失。</w:t>
      </w:r>
    </w:p>
    <w:p>
      <w:pPr>
        <w:pStyle w:val="BodyText"/>
      </w:pPr>
      <w:r>
        <w:t xml:space="preserve">固定二次风险项是必须比较的基准。若学习成对函数无法超过s’Σs等成熟量，则主要结果应归于传统关系变量，不应坚持神经模块独立有贡献。</w:t>
      </w:r>
    </w:p>
    <w:bookmarkEnd w:id="36"/>
    <w:bookmarkStart w:id="37" w:name="保守融合"/>
    <w:p>
      <w:pPr>
        <w:pStyle w:val="Heading3"/>
      </w:pPr>
      <w:r>
        <w:t xml:space="preserve">4 保守融合</w:t>
      </w:r>
    </w:p>
    <w:p>
      <w:pPr>
        <w:pStyle w:val="FirstParagraph"/>
      </w:pPr>
      <w:r>
        <w:t xml:space="preserve">树模型输出基础风险logit，图分支输出有界修正，可靠性门控决定允许多大的修正。可靠性为零或无有效边时，最终模型退回树模型。修正幅度设上界并正则化，避免噪声图推翻成熟预测。</w:t>
      </w:r>
    </w:p>
    <w:p>
      <w:pPr>
        <w:pStyle w:val="BodyText"/>
      </w:pPr>
      <w:r>
        <w:t xml:space="preserve">训练采用阶段式，而非宣称树与图联合反向传播。先生成按年份向前训练的树模型交叉拟合预测，再以这些预测作为图修正模块的固定输入。最终树模型在完整训练期重训，图参数冻结；验证阶段检查交叉拟合与重训后的输出差异，必要时统一校准。训练期内树的拟合值不可冒充样本外预测。</w:t>
      </w:r>
    </w:p>
    <w:bookmarkEnd w:id="37"/>
    <w:bookmarkEnd w:id="38"/>
    <w:bookmarkStart w:id="44" w:name="七-实验协议与证据对应"/>
    <w:p>
      <w:pPr>
        <w:pStyle w:val="Heading2"/>
      </w:pPr>
      <w:r>
        <w:t xml:space="preserve">七 实验协议与证据对应</w:t>
      </w:r>
    </w:p>
    <w:bookmarkStart w:id="39" w:name="时间划分"/>
    <w:p>
      <w:pPr>
        <w:pStyle w:val="Heading3"/>
      </w:pPr>
      <w:r>
        <w:t xml:space="preserve">1 时间划分</w:t>
      </w:r>
    </w:p>
    <w:p>
      <w:pPr>
        <w:pStyle w:val="FirstParagraph"/>
      </w:pPr>
      <w:r>
        <w:t xml:space="preserve">初始固定划分：样本年份2007—2015训练，2016—2018验证，2019—2020校准，2021—2023测试。对应标签分别来自下一年。训练中2007—2009用于基础模型暖启动，图修正使用2010—2015的逐年前向交叉拟合预测；较早样本仍可训练最终基础树。</w:t>
      </w:r>
    </w:p>
    <w:p>
      <w:pPr>
        <w:pStyle w:val="BodyText"/>
      </w:pPr>
      <w:r>
        <w:t xml:space="preserve">上述年份划分适用于截至t年的主口径。保守滞后一年的口径须额外留出标签成熟间隔：训练样本2007—2014，验证2016—2017，校准2019，测试2021—2023；2015、2018、2020不参与相邻阶段拟合或选模，防止使用预测时尚未知的下一年标签。若采用逐年扩展训练，同样逐条检查标签成熟时间。</w:t>
      </w:r>
    </w:p>
    <w:p>
      <w:pPr>
        <w:pStyle w:val="BodyText"/>
      </w:pPr>
      <w:r>
        <w:t xml:space="preserve">固定划分检验模型长期冻结后的适用性；毕业阶段补充每年前向扩展训练检验，区分“结构失效”与“长期未更新”。所有模型采用相同信息集和时间更新制度。校准期只拟合预定的概率校准参数，不选架构；测试期不用于调阈值、挑窗口、选国家或删异常。</w:t>
      </w:r>
    </w:p>
    <w:bookmarkEnd w:id="39"/>
    <w:bookmarkStart w:id="40" w:name="基准梯队"/>
    <w:p>
      <w:pPr>
        <w:pStyle w:val="Heading3"/>
      </w:pPr>
      <w:r>
        <w:t xml:space="preserve">2 基准梯队</w:t>
      </w:r>
    </w:p>
    <w:p>
      <w:pPr>
        <w:pStyle w:val="FirstParagraph"/>
      </w:pPr>
      <w:r>
        <w:t xml:space="preserve">B0：训练期风险率与仅HHI风险评分。B1：逻辑回归及随机森林。B2：基础XGBoost。B3：XGBoost加相关性、组合方差及共同下行指标。B4：无图的份额加权DeepSets，检验节点信息本身的价值。B5：普通相关图GCN或GAT加加权平均汇总。B6：可靠性有符号图加普通汇总。B7：完整成对暴露与门控修正。必要时增加“同一图编码器输出直接拼接XGBoost”的简单融合，判断定制融合是否值得。</w:t>
      </w:r>
    </w:p>
    <w:p>
      <w:pPr>
        <w:pStyle w:val="BodyText"/>
      </w:pPr>
      <w:r>
        <w:t xml:space="preserve">从B2至B7保持原始输入信息可比，并分别报告新增宏观变量与新增图结构的效果。神经基准控制参数规模、训练预算和随机种子，超参数搜索次数一致。旧论文的原始预测目标不同时，只能称适配基准，不得称原样复现。</w:t>
      </w:r>
    </w:p>
    <w:bookmarkEnd w:id="40"/>
    <w:bookmarkStart w:id="41" w:name="核心消融"/>
    <w:p>
      <w:pPr>
        <w:pStyle w:val="Heading3"/>
      </w:pPr>
      <w:r>
        <w:t xml:space="preserve">3 核心消融</w:t>
      </w:r>
    </w:p>
    <w:tbl>
      <w:tblPr>
        <w:tblStyle w:val="Table"/>
        <w:tblW w:type="pct" w:w="5000"/>
        <w:tblLayout w:type="fixed"/>
        <w:tblLook w:firstRow="1" w:lastRow="0" w:firstColumn="0" w:lastColumn="0" w:noHBand="0" w:noVBand="0" w:val="0020"/>
        <w:jc w:val="start"/>
      </w:tblPr>
      <w:tblGrid>
        <w:gridCol w:w="2304"/>
        <w:gridCol w:w="4176"/>
        <w:gridCol w:w="3312"/>
      </w:tblGrid>
      <w:tr>
        <w:trPr>
          <w:tblHeader w:val="true"/>
          <w:cantSplit/>
          <w:tblHeader/>
        </w:trPr>
        <w:tc>
          <w:tcPr>
            <w:tcW w:type="dxa" w:w="2304"/>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对照</w:t>
            </w:r>
          </w:p>
        </w:tc>
        <w:tc>
          <w:tcPr>
            <w:tcW w:type="dxa" w:w="4176"/>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唯一改变</w:t>
            </w:r>
          </w:p>
        </w:tc>
        <w:tc>
          <w:tcPr>
            <w:tcW w:type="dxa" w:w="331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对应问题</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去可靠性</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保留符号分支和成对结构，边可靠性设常数</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稳定性约束是否必要</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合并正负边</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其余结构相同，失去符号区分</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反向关系信息是否有用</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去成对项</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保留节点加权汇总</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成对暴露是否提供额外信息</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固定成对函数</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使用相关性或协方差的预设函数</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学习函数是否超越传统指标</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均匀份额</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保持图与编码器，仅替换出口份额</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经济暴露权重是否重要</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去门控</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允许固定幅度图修正</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可靠性回退机制是否有价值</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置换图</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保持近似度分布及密度，打乱对应关系</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收益是否来自真实关系</w:t>
            </w:r>
          </w:p>
        </w:tc>
      </w:tr>
    </w:tbl>
    <w:p>
      <w:pPr>
        <w:pStyle w:val="BodyText"/>
      </w:pPr>
      <w:r>
        <w:t xml:space="preserve">置换图仅作为统计负对照，不解释为真实改变贸易网络的政策效果。零边输入和可靠性为零时，必须用实现检查验证模型确实退回基础树。</w:t>
      </w:r>
    </w:p>
    <w:bookmarkEnd w:id="41"/>
    <w:bookmarkStart w:id="42" w:name="指标与统计不确定性"/>
    <w:p>
      <w:pPr>
        <w:pStyle w:val="Heading3"/>
      </w:pPr>
      <w:r>
        <w:t xml:space="preserve">4 指标与统计不确定性</w:t>
      </w:r>
    </w:p>
    <w:p>
      <w:pPr>
        <w:pStyle w:val="FirstParagraph"/>
      </w:pPr>
      <w:r>
        <w:t xml:space="preserve">主指标采用按测试年份分别计算后等权平均的Average Precision（AP，须与梯形积分PR-AUC区分）。同时报告ROC-AUC、Brier分数、对数损失、Precision@10%、Recall@10%，并逐年给出风险率。排序指标说明找高风险样本的能力，概率指标说明“预测30%是否接近真实30%”。分类阈值只在验证集选定。</w:t>
      </w:r>
    </w:p>
    <w:p>
      <w:pPr>
        <w:pStyle w:val="BodyText"/>
      </w:pPr>
      <w:r>
        <w:t xml:space="preserve">报告同一测试样本上的配对指标差，至少3个随机种子。不要把海量贸易行视为独立样本来夸大显著性。先按出口国—产品簇重采样保留时间序列，报告条件于测试年份的不确定性；由于固定测试仅3年，跨年份宏观泛化仍弱，毕业阶段以前向多折增加独立年份，并增加按年份块的敏感性分析。</w:t>
      </w:r>
    </w:p>
    <w:bookmarkEnd w:id="42"/>
    <w:bookmarkStart w:id="43" w:name="经济分析"/>
    <w:p>
      <w:pPr>
        <w:pStyle w:val="Heading3"/>
      </w:pPr>
      <w:r>
        <w:t xml:space="preserve">5 经济分析</w:t>
      </w:r>
    </w:p>
    <w:p>
      <w:pPr>
        <w:pStyle w:val="FirstParagraph"/>
      </w:pPr>
      <w:r>
        <w:t xml:space="preserve">使用训练期确定的分位点，按低/高HHI与低/高关系暴露形成四组，在样本外比较风险率、模型校准和增量识别。加入规模、既往波动、产品和年份控制的描述性回归，解释为条件相关。不同宏观状态以事先定义的当时可得GDP增长等划分；不能事后把模型最好的年份命名为“危机期”。</w:t>
      </w:r>
    </w:p>
    <w:p>
      <w:pPr>
        <w:pStyle w:val="BodyText"/>
      </w:pPr>
      <w:r>
        <w:t xml:space="preserve">可视化选择预测正确与失败的配对案例，同时展示出口份额、图边可靠性和模型修正。注意力与门控权重是模型内部量，不是因果贡献。改变图后预测变化只说明模型敏感性，不能推断重新配置出口市场能够降低多少真实风险。</w:t>
      </w:r>
    </w:p>
    <w:bookmarkEnd w:id="43"/>
    <w:bookmarkEnd w:id="44"/>
    <w:bookmarkStart w:id="45" w:name="八-计算范围与实施步骤"/>
    <w:p>
      <w:pPr>
        <w:pStyle w:val="Heading2"/>
      </w:pPr>
      <w:r>
        <w:t xml:space="preserve">八 计算范围与实施步骤</w:t>
      </w:r>
    </w:p>
    <w:p>
      <w:pPr>
        <w:pStyle w:val="FirstParagraph"/>
      </w:pPr>
      <w:r>
        <w:t xml:space="preserve">初版图隐藏维度32、1层有符号消息传递、每符号分支每节点最多5条边、成对MLP一层。复杂度主要来自按(i,k,t)构图，而不是百万级参数。对相同关系缓存统计量，以产品与年份批处理；采用稀疏边，成对汇总仅遍历保留边。模型训练共享参数，不为每个国家产品单独训练一套网络。</w:t>
      </w:r>
    </w:p>
    <w:p>
      <w:pPr>
        <w:pStyle w:val="BodyText"/>
      </w:pPr>
      <w:r>
        <w:t xml:space="preserve">不一开始训练Transformer、超图神经网络或大型时序模型。若节点数为J、每节点K条边、隐藏维度d，单图神经部分约为O(Jd²+JKd²)，构图约为O(LJ²)，逐次删除相关计算采用充分统计量加速。实际运行时间由数据审计后的小样本试跑测定，不承诺具体小时数。</w:t>
      </w:r>
    </w:p>
    <w:tbl>
      <w:tblPr>
        <w:tblStyle w:val="Table"/>
        <w:tblW w:type="auto" w:w="0"/>
        <w:tblLayout w:type="fixed"/>
        <w:tblLook w:firstRow="1" w:lastRow="0" w:firstColumn="0" w:lastColumn="0" w:noHBand="0" w:noVBand="0" w:val="0020"/>
        <w:jc w:val="start"/>
      </w:tblPr>
      <w:tblGrid>
        <w:gridCol w:w="2304"/>
        <w:gridCol w:w="4176"/>
        <w:gridCol w:w="3312"/>
      </w:tblGrid>
      <w:tr>
        <w:trPr>
          <w:tblHeader w:val="true"/>
          <w:cantSplit/>
          <w:tblHeader/>
        </w:trPr>
        <w:tc>
          <w:tcPr>
            <w:tcW w:type="dxa" w:w="2304"/>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阶段</w:t>
            </w:r>
          </w:p>
        </w:tc>
        <w:tc>
          <w:tcPr>
            <w:tcW w:type="dxa" w:w="4176"/>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计划时间</w:t>
            </w:r>
          </w:p>
        </w:tc>
        <w:tc>
          <w:tcPr>
            <w:tcW w:type="dxa" w:w="331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验收结果</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数据审计及查新</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第1—2周</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数据字典、筛样表、最近邻文献矩阵</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强基准与关系指标</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第3周</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时间外B2/B3结果、泄漏检查</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两个创新模块实现</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第4—5周</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可靠性图、成对汇总、可回退融合</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对照消融与失败分析</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第6—7周</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可复现比较与逐年结果</w:t>
            </w:r>
          </w:p>
        </w:tc>
      </w:tr>
      <w:tr>
        <w:trPr>
          <w:cantSplit/>
        </w:trPr>
        <w:tc>
          <w:tcPr>
            <w:tcW w:type="dxa" w:w="2304"/>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课程论文与汇报</w:t>
            </w:r>
          </w:p>
        </w:tc>
        <w:tc>
          <w:tcPr>
            <w:tcW w:type="dxa" w:w="4176"/>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第8周</w:t>
            </w:r>
          </w:p>
        </w:tc>
        <w:tc>
          <w:tcPr>
            <w:tcW w:type="dxa" w:w="331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完整论文、代码说明、研究限制</w:t>
            </w:r>
          </w:p>
        </w:tc>
      </w:tr>
      <w:tr>
        <w:trPr>
          <w:cantSplit/>
        </w:trPr>
        <w:tc>
          <w:tcPr>
            <w:tcW w:type="dxa" w:w="2304"/>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毕业扩展</w:t>
            </w:r>
          </w:p>
        </w:tc>
        <w:tc>
          <w:tcPr>
            <w:tcW w:type="dxa" w:w="4176"/>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后续6—10周</w:t>
            </w:r>
          </w:p>
        </w:tc>
        <w:tc>
          <w:tcPr>
            <w:tcW w:type="dxa" w:w="331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多产品粒度、多折预测、经济边界</w:t>
            </w:r>
          </w:p>
        </w:tc>
      </w:tr>
    </w:tbl>
    <w:p>
      <w:pPr>
        <w:pStyle w:val="BodyText"/>
      </w:pPr>
      <w:r>
        <w:t xml:space="preserve">时间为规划而非保证，优先按验收门槛推进。第一道门槛是外部联动指标能否在强树模型上产生稳定信号；若没有，先诊断价格、稀疏性和信息时点，再决定是否值得训练图模型。第二道门槛是学习成对项是否优于固定二次项；若不成立，保留有价值的经济结果并减少方法主张。第三道门槛是增益是否跨年份与样本口径稳定；只在一组划分上成功不能作为毕业论文核心证据。</w:t>
      </w:r>
    </w:p>
    <w:bookmarkEnd w:id="45"/>
    <w:bookmarkStart w:id="46" w:name="九-与范文的结构对齐"/>
    <w:p>
      <w:pPr>
        <w:pStyle w:val="Heading2"/>
      </w:pPr>
      <w:r>
        <w:t xml:space="preserve">九 与范文的结构对齐</w:t>
      </w:r>
    </w:p>
    <w:tbl>
      <w:tblPr>
        <w:tblStyle w:val="Table"/>
        <w:tblW w:type="pct" w:w="5000"/>
        <w:tblLayout w:type="fixed"/>
        <w:tblLook w:firstRow="1" w:lastRow="0" w:firstColumn="0" w:lastColumn="0" w:noHBand="0" w:noVBand="0" w:val="0020"/>
        <w:jc w:val="start"/>
      </w:tblPr>
      <w:tblGrid>
        <w:gridCol w:w="3600"/>
        <w:gridCol w:w="6192"/>
      </w:tblGrid>
      <w:tr>
        <w:trPr>
          <w:tblHeader w:val="true"/>
          <w:cantSplit/>
          <w:tblHeader/>
        </w:trPr>
        <w:tc>
          <w:tcPr>
            <w:tcW w:type="dxa" w:w="3600"/>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范文位置</w:t>
            </w:r>
          </w:p>
        </w:tc>
        <w:tc>
          <w:tcPr>
            <w:tcW w:type="dxa" w:w="6192"/>
            <w:tcBorders>
              <w:top w:val="single" w:sz="4" w:color="D9D9D9"/>
              <w:left w:val="single" w:sz="4" w:color="D9D9D9"/>
              <w:bottom w:val="single" w:sz="4" w:color="D9D9D9"/>
              <w:right w:val="single" w:sz="4" w:color="D9D9D9"/>
            </w:tcBorders>
            <w:shd w:fill="DDE8F0"/>
          </w:tcPr>
          <w:p>
            <w:pPr>
              <w:pStyle w:val="Compact"/>
              <w:spacing w:after="80" w:before="80"/>
              <w:jc w:val="left"/>
            </w:pPr>
            <w:r>
              <w:rPr>
                <w:sz w:val="19"/>
              </w:rPr>
              <w:t xml:space="preserve">本文内容</w:t>
            </w:r>
          </w:p>
        </w:tc>
      </w:tr>
      <w:tr>
        <w:trPr>
          <w:cantSplit/>
        </w:trPr>
        <w:tc>
          <w:tcPr>
            <w:tcW w:type="dxa" w:w="3600"/>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Abstract与Index Terms</w:t>
            </w:r>
          </w:p>
        </w:tc>
        <w:tc>
          <w:tcPr>
            <w:tcW w:type="dxa" w:w="61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经济问题、技术困难、两项设计，不编造结果</w:t>
            </w:r>
          </w:p>
        </w:tc>
      </w:tr>
      <w:tr>
        <w:trPr>
          <w:cantSplit/>
        </w:trPr>
        <w:tc>
          <w:tcPr>
            <w:tcW w:type="dxa" w:w="3600"/>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I Introduction</w:t>
            </w:r>
          </w:p>
        </w:tc>
        <w:tc>
          <w:tcPr>
            <w:tcW w:type="dxa" w:w="619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风险分散动机、具体反例、研究挑战、贡献边界</w:t>
            </w:r>
          </w:p>
        </w:tc>
      </w:tr>
      <w:tr>
        <w:trPr>
          <w:cantSplit/>
        </w:trPr>
        <w:tc>
          <w:tcPr>
            <w:tcW w:type="dxa" w:w="3600"/>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II Related Works</w:t>
            </w:r>
          </w:p>
        </w:tc>
        <w:tc>
          <w:tcPr>
            <w:tcW w:type="dxa" w:w="61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出口风险分散、贸易图学习、可靠性与组合建模</w:t>
            </w:r>
          </w:p>
        </w:tc>
      </w:tr>
      <w:tr>
        <w:trPr>
          <w:cantSplit/>
        </w:trPr>
        <w:tc>
          <w:tcPr>
            <w:tcW w:type="dxa" w:w="3600"/>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III Preliminaries</w:t>
            </w:r>
          </w:p>
        </w:tc>
        <w:tc>
          <w:tcPr>
            <w:tcW w:type="dxa" w:w="619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贸易流、风险标签、信息集、图与暴露的定义</w:t>
            </w:r>
          </w:p>
        </w:tc>
      </w:tr>
      <w:tr>
        <w:trPr>
          <w:cantSplit/>
        </w:trPr>
        <w:tc>
          <w:tcPr>
            <w:tcW w:type="dxa" w:w="3600"/>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IV Proposed Model</w:t>
            </w:r>
          </w:p>
        </w:tc>
        <w:tc>
          <w:tcPr>
            <w:tcW w:type="dxa" w:w="6192"/>
            <w:tcBorders>
              <w:top w:val="single" w:sz="4" w:color="D9D9D9"/>
              <w:left w:val="single" w:sz="4" w:color="D9D9D9"/>
              <w:bottom w:val="single" w:sz="4" w:color="D9D9D9"/>
              <w:right w:val="single" w:sz="4" w:color="D9D9D9"/>
            </w:tcBorders>
            <w:shd w:fill="FFFFFF"/>
          </w:tcPr>
          <w:p>
            <w:pPr>
              <w:pStyle w:val="Compact"/>
              <w:spacing w:after="80" w:before="80"/>
              <w:jc w:val="left"/>
            </w:pPr>
            <w:r>
              <w:rPr>
                <w:sz w:val="19"/>
              </w:rPr>
              <w:t xml:space="preserve">总体架构、基础分支、可靠性图、成对暴露、训练与算法</w:t>
            </w:r>
          </w:p>
        </w:tc>
      </w:tr>
      <w:tr>
        <w:trPr>
          <w:cantSplit/>
        </w:trPr>
        <w:tc>
          <w:tcPr>
            <w:tcW w:type="dxa" w:w="3600"/>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后续Experiments</w:t>
            </w:r>
          </w:p>
        </w:tc>
        <w:tc>
          <w:tcPr>
            <w:tcW w:type="dxa" w:w="6192"/>
            <w:tcBorders>
              <w:top w:val="single" w:sz="4" w:color="D9D9D9"/>
              <w:left w:val="single" w:sz="4" w:color="D9D9D9"/>
              <w:bottom w:val="single" w:sz="4" w:color="D9D9D9"/>
              <w:right w:val="single" w:sz="4" w:color="D9D9D9"/>
            </w:tcBorders>
            <w:shd w:fill="F6F8FA"/>
          </w:tcPr>
          <w:p>
            <w:pPr>
              <w:pStyle w:val="Compact"/>
              <w:spacing w:after="80" w:before="80"/>
              <w:jc w:val="left"/>
            </w:pPr>
            <w:r>
              <w:rPr>
                <w:sz w:val="19"/>
              </w:rPr>
              <w:t xml:space="preserve">由本方案实验协议执行后再写</w:t>
            </w:r>
          </w:p>
        </w:tc>
      </w:tr>
    </w:tbl>
    <w:p>
      <w:pPr>
        <w:pStyle w:val="BodyText"/>
      </w:pPr>
      <w:r>
        <w:t xml:space="preserve">配套稿件以中文正文、英文标准章节名、编号公式和双栏布局呈现。保留参考文献以支持已有研究陈述，正文止于模型与复杂度分析。摘要和引言不写“实验表明”</w:t>
      </w:r>
      <w:r>
        <w:t xml:space="preserve">“</w:t>
      </w:r>
      <w:r>
        <w:t xml:space="preserve">显著优于</w:t>
      </w:r>
      <w:r>
        <w:t xml:space="preserve">”</w:t>
      </w:r>
      <w:r>
        <w:t xml:space="preserve">等未经验证的句子。</w:t>
      </w:r>
    </w:p>
    <w:bookmarkEnd w:id="46"/>
    <w:bookmarkStart w:id="47" w:name="十-主要参考资料"/>
    <w:p>
      <w:pPr>
        <w:pStyle w:val="Heading2"/>
      </w:pPr>
      <w:r>
        <w:t xml:space="preserve">十 主要参考资料</w:t>
      </w:r>
    </w:p>
    <w:p>
      <w:pPr>
        <w:pStyle w:val="FirstParagraph"/>
        <w:spacing w:line="252" w:lineRule="auto" w:after="100"/>
      </w:pPr>
      <w:r>
        <w:rPr>
          <w:sz w:val="20"/>
        </w:rPr>
        <w:t xml:space="preserve">[1] F. Esposito. Demand risk and diversification through international trade. Journal of International Economics, 135, 2022. https://www.sciencedirect.com/science/article/pii/S0022199621001422</w:t>
      </w:r>
    </w:p>
    <w:p>
      <w:pPr>
        <w:pStyle w:val="BodyText"/>
        <w:spacing w:line="252" w:lineRule="auto" w:after="100"/>
      </w:pPr>
      <w:r>
        <w:rPr>
          <w:sz w:val="20"/>
        </w:rPr>
        <w:t xml:space="preserve">[2] N. Minakawa, K. Izumi, H. Sakaji. Bilateral Trade Flow Prediction by Gravity-informed Graph Auto-encoder. IEEE Big Data, 2022, pp. 2327–2332. DOI: 10.1109/BigData55660.2022.10021066. 开放文本：https://arxiv.org/abs/2408.01938</w:t>
      </w:r>
    </w:p>
    <w:p>
      <w:pPr>
        <w:pStyle w:val="BodyText"/>
        <w:spacing w:line="252" w:lineRule="auto" w:after="100"/>
      </w:pPr>
      <w:r>
        <w:rPr>
          <w:sz w:val="20"/>
        </w:rPr>
        <w:t xml:space="preserve">[3] J.-H. Kim, S. Yi, S.-H. Gwak, K.-I. Goh, D.-S. Lee. Structure and dynamics jointly stabilize the international trade hypergraph. Chaos, Solitons &amp; Fractals, 207, 117987, 2026. https://arxiv.org/abs/2507.05048</w:t>
      </w:r>
    </w:p>
    <w:p>
      <w:pPr>
        <w:pStyle w:val="BodyText"/>
        <w:spacing w:line="252" w:lineRule="auto" w:after="100"/>
      </w:pPr>
      <w:r>
        <w:rPr>
          <w:sz w:val="20"/>
        </w:rPr>
        <w:t xml:space="preserve">[4] T. Chen, C. Guestrin. XGBoost: A Scalable Tree Boosting System. KDD, 2016, pp. 785–794. DOI: 10.1145/2939672.2939785.</w:t>
      </w:r>
    </w:p>
    <w:p>
      <w:pPr>
        <w:pStyle w:val="BodyText"/>
        <w:spacing w:line="252" w:lineRule="auto" w:after="100"/>
      </w:pPr>
      <w:r>
        <w:rPr>
          <w:sz w:val="20"/>
        </w:rPr>
        <w:t xml:space="preserve">[5] P. Veličković et al. Graph Attention Networks. ICLR, 2018. https://arxiv.org/abs/1710.10903</w:t>
      </w:r>
    </w:p>
    <w:p>
      <w:pPr>
        <w:pStyle w:val="BodyText"/>
        <w:spacing w:line="252" w:lineRule="auto" w:after="100"/>
      </w:pPr>
      <w:r>
        <w:rPr>
          <w:sz w:val="20"/>
        </w:rPr>
        <w:t xml:space="preserve">[6] O. Ledoit, M. Wolf. A well-conditioned estimator for large-dimensional covariance matrices. Journal of Multivariate Analysis, 88(2), 2004, pp. 365–411. DOI: 10.1016/S0047-259X(03)00096-4.</w:t>
      </w:r>
    </w:p>
    <w:p>
      <w:pPr>
        <w:pStyle w:val="BodyText"/>
        <w:spacing w:line="252" w:lineRule="auto" w:after="100"/>
      </w:pPr>
      <w:r>
        <w:rPr>
          <w:sz w:val="20"/>
        </w:rPr>
        <w:t xml:space="preserve">[7] I. Rubachev, N. Kartashev, Y. Gorishniy, A. Babenko. TabReD: Analyzing Pitfalls and Filling the Gaps in Tabular Deep Learning Benchmarks. ICLR, 2025. https://arxiv.org/abs/2406.19380</w:t>
      </w:r>
    </w:p>
    <w:p>
      <w:pPr>
        <w:pStyle w:val="BodyText"/>
        <w:spacing w:line="252" w:lineRule="auto" w:after="100"/>
      </w:pPr>
      <w:r>
        <w:rPr>
          <w:sz w:val="20"/>
        </w:rPr>
        <w:t xml:space="preserve">[8] W. Chen, S. Li, H. Wang, T. Wang. Enhancer: A Distribution-Aware Framework with Temporal-Relational Meta-Learning for Stock Prediction. KDD, 2025, pp. 250–261. DOI: 10.1145/3711896.3736934.</w:t>
      </w:r>
    </w:p>
    <w:p>
      <w:pPr>
        <w:pStyle w:val="BodyText"/>
        <w:spacing w:line="252" w:lineRule="auto" w:after="100"/>
      </w:pPr>
      <w:r>
        <w:rPr>
          <w:sz w:val="20"/>
        </w:rPr>
        <w:t xml:space="preserve">[9] G. Gaulier, S. Zignago. BACI: International Trade Database at the Product-Level. CEPII Working Paper 2010-23, 2010. https://www.cepii.fr/PDF_PUB/wp/2010/wp2010-23.pdf</w:t>
      </w:r>
    </w:p>
    <w:p>
      <w:pPr>
        <w:pStyle w:val="BodyText"/>
        <w:spacing w:line="252" w:lineRule="auto" w:after="100"/>
      </w:pPr>
      <w:r>
        <w:rPr>
          <w:sz w:val="20"/>
        </w:rPr>
        <w:t xml:space="preserve">[10] World Bank. World Development Indicators. 指标NY.GDP.MKTP.KD.ZG、NY.GDP.MKTP.CD、FP.CPI.TOTL.ZG。https://data.worldbank.org/</w:t>
      </w:r>
    </w:p>
    <w:p>
      <w:pPr>
        <w:pStyle w:val="BodyText"/>
        <w:spacing w:line="252" w:lineRule="auto" w:after="100"/>
      </w:pPr>
      <w:r>
        <w:rPr>
          <w:sz w:val="20"/>
        </w:rPr>
        <w:t xml:space="preserve">[11] Y. Wang et al. Detecting Intent Drift in Continuous Conversation via Temporal Transition Accumulation. ICDM, 2025, pp. 773–782. DOI: 10.1109/ICDM65498.2025.00085. 用户提供的排版与结构参考。</w:t>
      </w:r>
    </w:p>
    <w:bookmarkEnd w:id="47"/>
    <w:bookmarkEnd w:id="48"/>
    <w:sectPr>
      <w:footerReference w:type="default" r:id="rId9"/>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8" w:lineRule="auto"/>
    </w:pPr>
    <w:rPr>
      <w:rFonts w:ascii="Times New Roman" w:hAnsi="Times New Roman" w:eastAsia="Noto Sans CJK SC"/>
      <w:color w:val="000000"/>
      <w:sz w:val="22"/>
    </w:rPr>
  </w:style>
  <w:style w:styleId="BodyText" w:type="paragraph">
    <w:name w:val="Body Text"/>
    <w:basedOn w:val="Normal"/>
    <w:link w:val="BodyTextChar"/>
    <w:pPr>
      <w:spacing w:after="140" w:before="180" w:line="278" w:lineRule="auto"/>
    </w:pPr>
    <w:qFormat/>
    <w:rPr>
      <w:rFonts w:ascii="Times New Roman" w:hAnsi="Times New Roman" w:eastAsia="Noto Sans CJK SC"/>
      <w:color w:val="000000"/>
      <w:sz w:val="22"/>
    </w:rPr>
  </w:style>
  <w:style w:customStyle="1" w:styleId="FirstParagraph" w:type="paragraph">
    <w:name w:val="First Paragraph"/>
    <w:basedOn w:val="BodyText"/>
    <w:next w:val="BodyText"/>
    <w:qFormat/>
    <w:pPr>
      <w:spacing w:after="140" w:line="278" w:lineRule="auto"/>
    </w:pPr>
    <w:rPr>
      <w:rFonts w:ascii="Times New Roman" w:hAnsi="Times New Roman" w:eastAsia="Noto Sans CJK SC"/>
      <w:color w:val="000000"/>
      <w:sz w:val="22"/>
    </w:rPr>
  </w:style>
  <w:style w:customStyle="1" w:styleId="Compact" w:type="paragraph">
    <w:name w:val="Compact"/>
    <w:basedOn w:val="BodyText"/>
    <w:qFormat/>
    <w:pPr>
      <w:spacing w:after="140" w:before="36" w:line="278" w:lineRule="auto"/>
    </w:pPr>
    <w:rPr>
      <w:rFonts w:ascii="Times New Roman" w:hAnsi="Times New Roman" w:eastAsia="Noto Sans CJK SC"/>
      <w:color w:val="000000"/>
      <w:sz w:val="22"/>
    </w:rPr>
  </w:style>
  <w:style w:styleId="Title" w:type="paragraph">
    <w:name w:val="Title"/>
    <w:basedOn w:val="Normal"/>
    <w:next w:val="BodyText"/>
    <w:qFormat/>
    <w:pPr>
      <w:keepNext/>
      <w:keepLines/>
      <w:spacing w:after="120" w:before="0" w:line="278" w:lineRule="auto"/>
      <w:jc w:val="center"/>
    </w:pPr>
    <w:rPr>
      <w:rFonts w:asciiTheme="majorHAnsi" w:cstheme="majorBidi" w:eastAsiaTheme="majorEastAsia" w:hAnsiTheme="majorHAnsi" w:ascii="Times New Roman" w:hAnsi="Times New Roman" w:eastAsia="Noto Sans CJK SC"/>
      <w:b/>
      <w:bCs/>
      <w:color w:val="000000"/>
      <w:sz w:val="36"/>
      <w:szCs w:val="36"/>
    </w:rPr>
  </w:style>
  <w:style w:styleId="Subtitle" w:type="paragraph">
    <w:name w:val="Subtitle"/>
    <w:basedOn w:val="Title"/>
    <w:next w:val="BodyText"/>
    <w:qFormat/>
    <w:pPr>
      <w:keepNext/>
      <w:keepLines/>
      <w:spacing w:after="140" w:before="240" w:line="278" w:lineRule="auto"/>
      <w:jc w:val="center"/>
    </w:pPr>
    <w:rPr>
      <w:rFonts w:ascii="Times New Roman" w:hAnsi="Times New Roman" w:eastAsia="Noto Sans CJK SC"/>
      <w:color w:val="000000"/>
      <w:sz w:val="22"/>
      <w:szCs w:val="30"/>
    </w:rPr>
  </w:style>
  <w:style w:customStyle="1" w:styleId="Author" w:type="paragraph">
    <w:name w:val="Author"/>
    <w:next w:val="BodyText"/>
    <w:qFormat/>
    <w:pPr>
      <w:keepNext/>
      <w:keepLines/>
      <w:spacing w:after="140" w:line="278" w:lineRule="auto"/>
      <w:jc w:val="center"/>
    </w:pPr>
    <w:rPr>
      <w:rFonts w:ascii="Times New Roman" w:hAnsi="Times New Roman" w:eastAsia="Noto Sans CJK SC"/>
      <w:color w:val="000000"/>
      <w:sz w:val="22"/>
    </w:rPr>
  </w:style>
  <w:style w:styleId="Date" w:type="paragraph">
    <w:name w:val="Date"/>
    <w:next w:val="BodyText"/>
    <w:qFormat/>
    <w:pPr>
      <w:keepNext/>
      <w:keepLines/>
      <w:spacing w:after="140" w:line="278" w:lineRule="auto"/>
      <w:jc w:val="center"/>
    </w:pPr>
    <w:rPr>
      <w:rFonts w:ascii="Times New Roman" w:hAnsi="Times New Roman" w:eastAsia="Noto Sans CJK SC"/>
      <w:color w:val="000000"/>
      <w:sz w:val="22"/>
    </w:rPr>
  </w:style>
  <w:style w:customStyle="1" w:styleId="AbstractTitle" w:type="paragraph">
    <w:name w:val="Abstract Title"/>
    <w:basedOn w:val="Normal"/>
    <w:next w:val="Abstract"/>
    <w:qFormat/>
    <w:pPr>
      <w:keepNext/>
      <w:keepLines/>
      <w:jc w:val="center"/>
      <w:spacing w:after="140" w:before="300" w:line="278" w:lineRule="auto"/>
    </w:pPr>
    <w:rPr>
      <w:color w:val="000000"/>
      <w:sz w:val="22"/>
      <w:szCs w:val="20"/>
      <w:rFonts w:ascii="Times New Roman" w:hAnsi="Times New Roman" w:eastAsia="Noto Sans CJK SC"/>
      <w:b/>
    </w:rPr>
  </w:style>
  <w:style w:customStyle="1" w:styleId="Abstract" w:type="paragraph">
    <w:name w:val="Abstract"/>
    <w:basedOn w:val="Normal"/>
    <w:next w:val="BodyText"/>
    <w:qFormat/>
    <w:pPr>
      <w:keepNext/>
      <w:keepLines/>
      <w:spacing w:after="140" w:before="100" w:line="278" w:lineRule="auto"/>
    </w:pPr>
    <w:rPr>
      <w:rFonts w:ascii="Times New Roman" w:hAnsi="Times New Roman" w:eastAsia="Noto Sans CJK SC"/>
      <w:color w:val="000000"/>
      <w:sz w:val="22"/>
      <w:szCs w:val="20"/>
    </w:rPr>
  </w:style>
  <w:style w:styleId="Bibliography" w:type="paragraph">
    <w:name w:val="Bibliography"/>
    <w:basedOn w:val="Normal"/>
    <w:next w:val="Bibliography"/>
    <w:qFormat/>
    <w:pPr>
      <w:spacing w:after="140" w:line="278" w:lineRule="auto"/>
    </w:pPr>
    <w:rPr>
      <w:rFonts w:ascii="Times New Roman" w:hAnsi="Times New Roman" w:eastAsia="Noto Sans CJK SC"/>
      <w:color w:val="000000"/>
      <w:sz w:val="22"/>
    </w:rPr>
  </w:style>
  <w:style w:styleId="Heading1" w:type="paragraph">
    <w:name w:val="Heading 1"/>
    <w:basedOn w:val="Normal"/>
    <w:next w:val="BodyText"/>
    <w:uiPriority w:val="9"/>
    <w:qFormat/>
    <w:pPr>
      <w:keepNext/>
      <w:keepLines/>
      <w:spacing w:after="120" w:before="200" w:line="278" w:lineRule="auto"/>
      <w:outlineLvl w:val="0"/>
    </w:pPr>
    <w:rPr>
      <w:rFonts w:asciiTheme="majorHAnsi" w:cstheme="majorBidi" w:eastAsiaTheme="majorEastAsia" w:hAnsiTheme="majorHAnsi" w:ascii="Times New Roman" w:hAnsi="Times New Roman" w:eastAsia="Noto Sans CJK SC"/>
      <w:b/>
      <w:bCs/>
      <w:color w:val="000000"/>
      <w:sz w:val="30"/>
      <w:szCs w:val="32"/>
    </w:rPr>
  </w:style>
  <w:style w:styleId="Heading2" w:type="paragraph">
    <w:name w:val="Heading 2"/>
    <w:basedOn w:val="Normal"/>
    <w:next w:val="BodyText"/>
    <w:uiPriority w:val="9"/>
    <w:unhideWhenUsed/>
    <w:qFormat/>
    <w:pPr>
      <w:keepNext/>
      <w:keepLines/>
      <w:spacing w:after="120" w:before="200" w:line="278" w:lineRule="auto"/>
      <w:outlineLvl w:val="1"/>
    </w:pPr>
    <w:rPr>
      <w:rFonts w:asciiTheme="majorHAnsi" w:cstheme="majorBidi" w:eastAsiaTheme="majorEastAsia" w:hAnsiTheme="majorHAnsi" w:ascii="Times New Roman" w:hAnsi="Times New Roman" w:eastAsia="Noto Sans CJK SC"/>
      <w:b/>
      <w:bCs/>
      <w:color w:val="000000"/>
      <w:sz w:val="24"/>
      <w:szCs w:val="28"/>
    </w:rPr>
  </w:style>
  <w:style w:styleId="Heading3" w:type="paragraph">
    <w:name w:val="Heading 3"/>
    <w:basedOn w:val="Normal"/>
    <w:next w:val="BodyText"/>
    <w:uiPriority w:val="9"/>
    <w:unhideWhenUsed/>
    <w:qFormat/>
    <w:pPr>
      <w:keepNext/>
      <w:keepLines/>
      <w:spacing w:after="120" w:before="200" w:line="278" w:lineRule="auto"/>
      <w:outlineLvl w:val="2"/>
    </w:pPr>
    <w:rPr>
      <w:rFonts w:asciiTheme="majorHAnsi" w:cstheme="majorBidi" w:eastAsiaTheme="majorEastAsia" w:hAnsiTheme="majorHAnsi" w:ascii="Times New Roman" w:hAnsi="Times New Roman" w:eastAsia="Noto Sans CJK SC"/>
      <w:b/>
      <w:bCs/>
      <w:color w:val="000000"/>
      <w:sz w:val="22"/>
      <w:szCs w:val="24"/>
    </w:rPr>
  </w:style>
  <w:style w:styleId="Heading4" w:type="paragraph">
    <w:name w:val="Heading 4"/>
    <w:basedOn w:val="Normal"/>
    <w:next w:val="BodyText"/>
    <w:uiPriority w:val="9"/>
    <w:unhideWhenUsed/>
    <w:qFormat/>
    <w:pPr>
      <w:keepNext/>
      <w:keepLines/>
      <w:spacing w:after="140" w:before="200" w:line="278" w:lineRule="auto"/>
      <w:outlineLvl w:val="3"/>
    </w:pPr>
    <w:rPr>
      <w:rFonts w:asciiTheme="majorHAnsi" w:cstheme="majorBidi" w:eastAsiaTheme="majorEastAsia" w:hAnsiTheme="majorHAnsi" w:ascii="Times New Roman" w:hAnsi="Times New Roman" w:eastAsia="Noto Sans CJK SC"/>
      <w:i/>
      <w:bCs/>
      <w:color w:val="000000"/>
      <w:sz w:val="22"/>
      <w:szCs w:val="24"/>
    </w:rPr>
  </w:style>
  <w:style w:styleId="Heading5" w:type="paragraph">
    <w:name w:val="Heading 5"/>
    <w:basedOn w:val="Normal"/>
    <w:next w:val="BodyText"/>
    <w:uiPriority w:val="9"/>
    <w:unhideWhenUsed/>
    <w:qFormat/>
    <w:pPr>
      <w:keepNext/>
      <w:keepLines/>
      <w:spacing w:after="140" w:before="200" w:line="278" w:lineRule="auto"/>
      <w:outlineLvl w:val="4"/>
    </w:pPr>
    <w:rPr>
      <w:rFonts w:asciiTheme="majorHAnsi" w:cstheme="majorBidi" w:eastAsiaTheme="majorEastAsia" w:hAnsiTheme="majorHAnsi" w:ascii="Times New Roman" w:hAnsi="Times New Roman" w:eastAsia="Noto Sans CJK SC"/>
      <w:iCs/>
      <w:color w:val="000000"/>
      <w:sz w:val="22"/>
      <w:szCs w:val="24"/>
    </w:rPr>
  </w:style>
  <w:style w:styleId="Heading6" w:type="paragraph">
    <w:name w:val="Heading 6"/>
    <w:basedOn w:val="Normal"/>
    <w:next w:val="BodyText"/>
    <w:uiPriority w:val="9"/>
    <w:unhideWhenUsed/>
    <w:qFormat/>
    <w:pPr>
      <w:keepNext/>
      <w:keepLines/>
      <w:spacing w:after="140" w:before="200" w:line="278" w:lineRule="auto"/>
      <w:outlineLvl w:val="5"/>
    </w:pPr>
    <w:rPr>
      <w:rFonts w:asciiTheme="majorHAnsi" w:cstheme="majorBidi" w:eastAsiaTheme="majorEastAsia" w:hAnsiTheme="majorHAnsi" w:ascii="Times New Roman" w:hAnsi="Times New Roman" w:eastAsia="Noto Sans CJK SC"/>
      <w:color w:val="000000"/>
      <w:sz w:val="22"/>
      <w:szCs w:val="24"/>
    </w:rPr>
  </w:style>
  <w:style w:styleId="Heading7" w:type="paragraph">
    <w:name w:val="Heading 7"/>
    <w:basedOn w:val="Normal"/>
    <w:next w:val="BodyText"/>
    <w:uiPriority w:val="9"/>
    <w:unhideWhenUsed/>
    <w:qFormat/>
    <w:pPr>
      <w:keepNext/>
      <w:keepLines/>
      <w:spacing w:after="140" w:before="200" w:line="278" w:lineRule="auto"/>
      <w:outlineLvl w:val="6"/>
    </w:pPr>
    <w:rPr>
      <w:rFonts w:asciiTheme="majorHAnsi" w:cstheme="majorBidi" w:eastAsiaTheme="majorEastAsia" w:hAnsiTheme="majorHAnsi" w:ascii="Times New Roman" w:hAnsi="Times New Roman" w:eastAsia="Noto Sans CJK SC"/>
      <w:color w:val="000000"/>
      <w:sz w:val="22"/>
      <w:szCs w:val="24"/>
    </w:rPr>
  </w:style>
  <w:style w:styleId="Heading8" w:type="paragraph">
    <w:name w:val="Heading 8"/>
    <w:basedOn w:val="Normal"/>
    <w:next w:val="BodyText"/>
    <w:uiPriority w:val="9"/>
    <w:unhideWhenUsed/>
    <w:qFormat/>
    <w:pPr>
      <w:keepNext/>
      <w:keepLines/>
      <w:spacing w:after="140" w:before="200" w:line="278" w:lineRule="auto"/>
      <w:outlineLvl w:val="7"/>
    </w:pPr>
    <w:rPr>
      <w:rFonts w:asciiTheme="majorHAnsi" w:cstheme="majorBidi" w:eastAsiaTheme="majorEastAsia" w:hAnsiTheme="majorHAnsi" w:ascii="Times New Roman" w:hAnsi="Times New Roman" w:eastAsia="Noto Sans CJK SC"/>
      <w:color w:val="000000"/>
      <w:sz w:val="22"/>
      <w:szCs w:val="24"/>
    </w:rPr>
  </w:style>
  <w:style w:styleId="Heading9" w:type="paragraph">
    <w:name w:val="Heading 9"/>
    <w:basedOn w:val="Normal"/>
    <w:next w:val="BodyText"/>
    <w:uiPriority w:val="9"/>
    <w:unhideWhenUsed/>
    <w:qFormat/>
    <w:pPr>
      <w:keepNext/>
      <w:keepLines/>
      <w:spacing w:after="140" w:before="200" w:line="278" w:lineRule="auto"/>
      <w:outlineLvl w:val="8"/>
    </w:pPr>
    <w:rPr>
      <w:rFonts w:asciiTheme="majorHAnsi" w:cstheme="majorBidi" w:eastAsiaTheme="majorEastAsia" w:hAnsiTheme="majorHAnsi" w:ascii="Times New Roman" w:hAnsi="Times New Roman" w:eastAsia="Noto Sans CJK SC"/>
      <w:color w:val="000000"/>
      <w:sz w:val="22"/>
      <w:szCs w:val="24"/>
    </w:rPr>
  </w:style>
  <w:style w:styleId="BlockText" w:type="paragraph">
    <w:name w:val="Block Text"/>
    <w:basedOn w:val="BodyText"/>
    <w:next w:val="BodyText"/>
    <w:uiPriority w:val="9"/>
    <w:unhideWhenUsed/>
    <w:qFormat/>
    <w:pPr>
      <w:spacing w:after="140" w:before="100" w:line="278" w:lineRule="auto"/>
      <w:ind w:firstLine="0" w:left="480" w:right="480"/>
    </w:pPr>
    <w:rPr>
      <w:rFonts w:ascii="Times New Roman" w:hAnsi="Times New Roman" w:eastAsia="Noto Sans CJK SC"/>
      <w:color w:val="000000"/>
      <w:sz w:val="22"/>
    </w:rPr>
  </w:style>
  <w:style w:styleId="FootnoteText" w:type="paragraph">
    <w:name w:val="Footnote Text"/>
    <w:basedOn w:val="Normal"/>
    <w:next w:val="FootnoteText"/>
    <w:uiPriority w:val="9"/>
    <w:unhideWhenUsed/>
    <w:qFormat/>
    <w:pPr>
      <w:spacing w:after="140" w:line="278" w:lineRule="auto"/>
    </w:pPr>
    <w:rPr>
      <w:rFonts w:ascii="Times New Roman" w:hAnsi="Times New Roman" w:eastAsia="Noto Sans CJK SC"/>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40" w:line="278" w:lineRule="auto"/>
    </w:pPr>
    <w:rPr>
      <w:rFonts w:ascii="Times New Roman" w:hAnsi="Times New Roman" w:eastAsia="Noto Sans CJK SC"/>
      <w:b/>
      <w:color w:val="000000"/>
      <w:sz w:val="22"/>
    </w:rPr>
  </w:style>
  <w:style w:customStyle="1" w:styleId="Definition" w:type="paragraph">
    <w:name w:val="Definition"/>
    <w:basedOn w:val="Normal"/>
    <w:pPr>
      <w:spacing w:after="140" w:line="278" w:lineRule="auto"/>
    </w:pPr>
    <w:rPr>
      <w:rFonts w:ascii="Times New Roman" w:hAnsi="Times New Roman" w:eastAsia="Noto Sans CJK SC"/>
      <w:color w:val="000000"/>
      <w:sz w:val="22"/>
    </w:rPr>
  </w:style>
  <w:style w:styleId="Caption" w:type="paragraph">
    <w:name w:val="Caption"/>
    <w:basedOn w:val="Normal"/>
    <w:link w:val="BodyTextChar"/>
    <w:pPr>
      <w:spacing w:after="140" w:before="0" w:line="278" w:lineRule="auto"/>
    </w:pPr>
    <w:rPr>
      <w:rFonts w:ascii="Times New Roman" w:hAnsi="Times New Roman" w:eastAsia="Noto Sans CJK SC"/>
      <w:i/>
      <w:color w:val="000000"/>
      <w:sz w:val="22"/>
    </w:rPr>
  </w:style>
  <w:style w:customStyle="1" w:styleId="TableCaption" w:type="paragraph">
    <w:name w:val="Table Caption"/>
    <w:basedOn w:val="Caption"/>
    <w:pPr>
      <w:keepNext/>
      <w:spacing w:after="140" w:line="278" w:lineRule="auto"/>
    </w:pPr>
    <w:rPr>
      <w:rFonts w:ascii="Times New Roman" w:hAnsi="Times New Roman" w:eastAsia="Noto Sans CJK SC"/>
      <w:color w:val="000000"/>
      <w:sz w:val="22"/>
    </w:rPr>
  </w:style>
  <w:style w:customStyle="1" w:styleId="ImageCaption" w:type="paragraph">
    <w:name w:val="Image Caption"/>
    <w:basedOn w:val="Caption"/>
    <w:pPr>
      <w:spacing w:after="140" w:line="278" w:lineRule="auto"/>
    </w:pPr>
    <w:rPr>
      <w:rFonts w:ascii="Times New Roman" w:hAnsi="Times New Roman" w:eastAsia="Noto Sans CJK SC"/>
      <w:color w:val="000000"/>
      <w:sz w:val="22"/>
    </w:rPr>
  </w:style>
  <w:style w:customStyle="1" w:styleId="Figure" w:type="paragraph">
    <w:name w:val="Figure"/>
    <w:basedOn w:val="Normal"/>
    <w:pPr>
      <w:spacing w:after="140" w:line="278" w:lineRule="auto"/>
    </w:pPr>
    <w:rPr>
      <w:rFonts w:ascii="Times New Roman" w:hAnsi="Times New Roman" w:eastAsia="Noto Sans CJK SC"/>
      <w:color w:val="000000"/>
      <w:sz w:val="22"/>
    </w:rPr>
  </w:style>
  <w:style w:customStyle="1" w:styleId="CaptionedFigure" w:type="paragraph">
    <w:name w:val="Captioned Figure"/>
    <w:basedOn w:val="Figure"/>
    <w:pPr>
      <w:keepNext/>
      <w:spacing w:after="140" w:line="278" w:lineRule="auto"/>
    </w:pPr>
    <w:rPr>
      <w:rFonts w:ascii="Times New Roman" w:hAnsi="Times New Roman" w:eastAsia="Noto Sans CJK SC"/>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8" w:lineRule="auto" w:after="140"/>
      <w:outlineLvl w:val="9"/>
    </w:pPr>
    <w:rPr>
      <w:rFonts w:asciiTheme="majorHAnsi" w:cstheme="majorBidi" w:eastAsiaTheme="majorEastAsia" w:hAnsiTheme="majorHAnsi" w:ascii="Times New Roman" w:hAnsi="Times New Roman" w:eastAsia="Noto Sans CJK SC"/>
      <w:b w:val="0"/>
      <w:bCs w:val="0"/>
      <w:color w:val="000000"/>
      <w:sz w:val="22"/>
    </w:rPr>
  </w:style>
  <w:style w:type="paragraph" w:customStyle="1" w:styleId="SourceCode">
    <w:name w:val="Source Code"/>
    <w:basedOn w:val="Normal"/>
    <w:link w:val="VerbatimChar"/>
    <w:pPr>
      <w:wordWrap w:val="off"/>
      <w:spacing w:after="140" w:line="278" w:lineRule="auto"/>
    </w:pPr>
    <w:rPr>
      <w:rFonts w:ascii="Times New Roman" w:hAnsi="Times New Roman" w:eastAsia="Noto Sans CJK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2026-09-24T03:28:32Z</dcterms:created>
  <dcterms:modified xsi:type="dcterms:W3CDTF">2026-09-24T03:28:32Z</dcterms:modified>
</cp:coreProperties>
</file>

<file path=docProps/custom.xml><?xml version="1.0" encoding="utf-8"?>
<Properties xmlns="http://schemas.openxmlformats.org/officeDocument/2006/custom-properties" xmlns:vt="http://schemas.openxmlformats.org/officeDocument/2006/docPropsVTypes"/>
</file>