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972E1"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 w:hAnsi="宋体" w:eastAsia="宋体"/>
          <w:b/>
          <w:sz w:val="36"/>
          <w:szCs w:val="32"/>
        </w:rPr>
        <w:t>迭代计划</w:t>
      </w:r>
    </w:p>
    <w:p w14:paraId="5508E6BF">
      <w:pPr>
        <w:pStyle w:val="5"/>
        <w:ind w:firstLine="0" w:firstLineChars="0"/>
        <w:jc w:val="right"/>
        <w:rPr>
          <w:rFonts w:ascii="宋体"/>
          <w:szCs w:val="21"/>
        </w:rPr>
      </w:pPr>
      <w:r>
        <w:rPr>
          <w:rFonts w:ascii="宋体" w:hAnsi="宋体" w:eastAsia="宋体"/>
          <w:b w:val="0"/>
          <w:sz w:val="21"/>
        </w:rPr>
        <w:t>制定日期：2026年7月14日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22F8E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51891264">
            <w:pPr>
              <w:adjustRightInd w:val="0"/>
              <w:snapToGrid w:val="0"/>
              <w:spacing w:after="0" w:line="460" w:lineRule="atLeast"/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E83ACE9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3A02AD1F">
            <w:pPr>
              <w:adjustRightInd w:val="0"/>
              <w:snapToGrid w:val="0"/>
              <w:spacing w:after="0" w:line="460" w:lineRule="atLeast"/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55481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PaperMate：ArXiv论文阅读工具</w:t>
            </w:r>
          </w:p>
        </w:tc>
      </w:tr>
      <w:tr w14:paraId="5E3D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41772EC3">
            <w:pPr>
              <w:adjustRightInd w:val="0"/>
              <w:snapToGrid w:val="0"/>
              <w:spacing w:after="0" w:line="460" w:lineRule="atLeast"/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52AF214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技术原型迭代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6A8850B4">
            <w:pPr>
              <w:adjustRightInd w:val="0"/>
              <w:snapToGrid w:val="0"/>
              <w:spacing w:after="0" w:line="460" w:lineRule="atLeast"/>
              <w:jc w:val="center"/>
              <w:rPr>
                <w:szCs w:val="21"/>
              </w:rPr>
            </w:pPr>
            <w:r>
              <w:rPr>
                <w:rFonts w:hint="eastAsia" w:ascii="宋体" w:hAnsi="宋体" w:eastAsia="宋体"/>
                <w:b w:val="0"/>
                <w:sz w:val="21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5D943E">
            <w:pPr>
              <w:spacing w:after="0"/>
            </w:pPr>
            <w:r>
              <w:rPr>
                <w:rFonts w:ascii="宋体" w:hAnsi="宋体" w:eastAsia="宋体"/>
                <w:b w:val="0"/>
                <w:sz w:val="21"/>
              </w:rPr>
              <w:t>2026.07.14 - 2026.07.24</w:t>
            </w:r>
          </w:p>
        </w:tc>
      </w:tr>
      <w:tr w14:paraId="2631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F0089">
            <w:pPr>
              <w:spacing w:after="100" w:line="276" w:lineRule="auto"/>
            </w:pPr>
            <w:r>
              <w:rPr>
                <w:rFonts w:ascii="宋体" w:hAnsi="宋体" w:eastAsia="宋体"/>
                <w:b/>
                <w:sz w:val="24"/>
              </w:rPr>
              <w:t>任务、进度安排和人员分配</w:t>
            </w:r>
          </w:p>
          <w:p w14:paraId="2DCF4658">
            <w:pPr>
              <w:spacing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一、迭代目标与范围</w:t>
            </w:r>
          </w:p>
          <w:p w14:paraId="27CBB59D">
            <w:pPr>
              <w:spacing w:after="6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本迭代是项目最核心的技术验证迭代。目标是在11天内完成技术方案和架构基线，搭建可运行的软件骨架，按编程规范实现3个典型用例，并以测试数据验证技术要求。若第一轮Vision、用例或界面原型与实现不一致，允许在本迭代内返工并留下评审记录。</w:t>
            </w:r>
          </w:p>
          <w:p w14:paraId="5A0C60BA">
            <w:pPr>
              <w:spacing w:after="40" w:line="264" w:lineRule="auto"/>
              <w:ind w:left="198"/>
            </w:pPr>
            <w:r>
              <w:rPr>
                <w:rFonts w:ascii="宋体" w:hAnsi="宋体" w:eastAsia="宋体"/>
                <w:b w:val="0"/>
                <w:sz w:val="19"/>
              </w:rPr>
              <w:t>用例1：搜索/筛选论文并查看论文详情。</w:t>
            </w:r>
            <w:bookmarkStart w:id="0" w:name="_GoBack"/>
            <w:bookmarkEnd w:id="0"/>
          </w:p>
          <w:p w14:paraId="050DF7EA">
            <w:pPr>
              <w:spacing w:after="40" w:line="264" w:lineRule="auto"/>
              <w:ind w:left="198"/>
            </w:pPr>
            <w:r>
              <w:rPr>
                <w:rFonts w:ascii="宋体" w:hAnsi="宋体" w:eastAsia="宋体"/>
                <w:b w:val="0"/>
                <w:sz w:val="19"/>
              </w:rPr>
              <w:t>用例2：抓取并解析论文，展示summary、concept、methods等结构化Wiki结果。</w:t>
            </w:r>
          </w:p>
          <w:p w14:paraId="45A19B65">
            <w:pPr>
              <w:spacing w:after="40" w:line="264" w:lineRule="auto"/>
              <w:ind w:left="198"/>
            </w:pPr>
            <w:r>
              <w:rPr>
                <w:rFonts w:ascii="宋体" w:hAnsi="宋体" w:eastAsia="宋体"/>
                <w:b w:val="0"/>
                <w:sz w:val="19"/>
              </w:rPr>
              <w:t>用例3：针对论文提问，回答必须返回可定位的原文出处；无依据时拒答。</w:t>
            </w:r>
          </w:p>
          <w:p w14:paraId="5E8BA47A">
            <w:pPr>
              <w:spacing w:after="40" w:line="264" w:lineRule="auto"/>
              <w:ind w:left="198"/>
            </w:pPr>
            <w:r>
              <w:rPr>
                <w:rFonts w:ascii="宋体" w:hAnsi="宋体" w:eastAsia="宋体"/>
                <w:b w:val="0"/>
                <w:sz w:val="19"/>
              </w:rPr>
              <w:t>候选技术基线：React + Vite前端；FastAPI/Python后端及任务处理；PostgreSQL（演示可降级SQLite）；OpenAPI、Git、自动格式化与测试工具。最终选型以07/15 ADR评审为准。</w:t>
            </w:r>
          </w:p>
          <w:p w14:paraId="47B8C511">
            <w:pPr>
              <w:spacing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二、滚动式规划方法</w:t>
            </w:r>
          </w:p>
          <w:p w14:paraId="7E8869F4">
            <w:pPr>
              <w:spacing w:after="6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计划按“近期细、远期粗”维护：07/14-07/16细化到半天；07/17-07/20细化到每天；07/21-07/24仅定义阶段目标。07/16、07/19、07/22结束前召开滚动计划会，根据已完成成果、缺陷和技术风险细化后续2-3天任务。范围变更必须记录原因、影响、责任人和新验收条件。</w:t>
            </w:r>
          </w:p>
          <w:p w14:paraId="2059117B">
            <w:pPr>
              <w:spacing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三、人员分工</w:t>
            </w:r>
          </w:p>
          <w:tbl>
            <w:tblPr>
              <w:tblStyle w:val="7"/>
              <w:tblW w:w="8100" w:type="dxa"/>
              <w:tblInd w:w="1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00"/>
              <w:gridCol w:w="6200"/>
            </w:tblGrid>
            <w:tr w14:paraId="190E37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1900" w:type="dxa"/>
                  <w:shd w:val="clear" w:color="auto" w:fill="D9EAF7"/>
                  <w:vAlign w:val="center"/>
                </w:tcPr>
                <w:p w14:paraId="541362AF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成员</w:t>
                  </w:r>
                </w:p>
              </w:tc>
              <w:tc>
                <w:tcPr>
                  <w:tcW w:w="6200" w:type="dxa"/>
                  <w:shd w:val="clear" w:color="auto" w:fill="D9EAF7"/>
                  <w:vAlign w:val="center"/>
                </w:tcPr>
                <w:p w14:paraId="0E1C8F57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持续职责</w:t>
                  </w:r>
                </w:p>
              </w:tc>
            </w:tr>
            <w:tr w14:paraId="68F6AC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0" w:type="dxa"/>
                  <w:vAlign w:val="center"/>
                </w:tcPr>
                <w:p w14:paraId="04684E86">
                  <w:pPr>
                    <w:spacing w:before="0" w:after="40" w:line="252" w:lineRule="auto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 xml:space="preserve">王诺 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组长/架构与集成</w:t>
                  </w:r>
                </w:p>
              </w:tc>
              <w:tc>
                <w:tcPr>
                  <w:tcW w:w="6200" w:type="dxa"/>
                  <w:vAlign w:val="center"/>
                </w:tcPr>
                <w:p w14:paraId="1575C98E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范围控制、架构决策、接口契约、集成、架构文档与最终验收。</w:t>
                  </w:r>
                </w:p>
              </w:tc>
            </w:tr>
            <w:tr w14:paraId="1FCEB5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0" w:type="dxa"/>
                  <w:vAlign w:val="center"/>
                </w:tcPr>
                <w:p w14:paraId="07E3831E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 xml:space="preserve">卢沫涵 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前端/可视化集成</w:t>
                  </w:r>
                </w:p>
              </w:tc>
              <w:tc>
                <w:tcPr>
                  <w:tcW w:w="6200" w:type="dxa"/>
                  <w:vAlign w:val="center"/>
                </w:tcPr>
                <w:p w14:paraId="0FAC4B9E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页面实现、处理状态、Wiki结果渲染、问答引用定位、接口联调与前端性能。</w:t>
                  </w:r>
                </w:p>
              </w:tc>
            </w:tr>
            <w:tr w14:paraId="3C2655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1900" w:type="dxa"/>
                  <w:vAlign w:val="center"/>
                </w:tcPr>
                <w:p w14:paraId="5C5E2059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 xml:space="preserve">陆亚堃 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后端/数据库</w:t>
                  </w:r>
                </w:p>
              </w:tc>
              <w:tc>
                <w:tcPr>
                  <w:tcW w:w="6200" w:type="dxa"/>
                  <w:vAlign w:val="center"/>
                </w:tcPr>
                <w:p w14:paraId="6D521240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服务框架、数据模型、元数据/学习管理接口、检索与部署性能。</w:t>
                  </w:r>
                </w:p>
              </w:tc>
            </w:tr>
            <w:tr w14:paraId="04AB05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0" w:type="dxa"/>
                  <w:vAlign w:val="center"/>
                </w:tcPr>
                <w:p w14:paraId="305D7D65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 xml:space="preserve">张益宁 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算法与数据管线</w:t>
                  </w:r>
                </w:p>
              </w:tc>
              <w:tc>
                <w:tcPr>
                  <w:tcW w:w="6200" w:type="dxa"/>
                  <w:vAlign w:val="center"/>
                </w:tcPr>
                <w:p w14:paraId="1C724797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arXiv抓取、论文解析、召回/问答算法、任务重试与降级；不负责前端呈现。</w:t>
                  </w:r>
                </w:p>
              </w:tc>
            </w:tr>
            <w:tr w14:paraId="3FE4FC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900" w:type="dxa"/>
                  <w:vAlign w:val="center"/>
                </w:tcPr>
                <w:p w14:paraId="74909AAA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 xml:space="preserve">刘以天 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测试/文档/演示</w:t>
                  </w:r>
                </w:p>
              </w:tc>
              <w:tc>
                <w:tcPr>
                  <w:tcW w:w="6200" w:type="dxa"/>
                  <w:vAlign w:val="center"/>
                </w:tcPr>
                <w:p w14:paraId="31890CE2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测试与追踪矩阵、UML协作、质量门禁、评审记录和迭代评估报告。</w:t>
                  </w:r>
                </w:p>
              </w:tc>
            </w:tr>
          </w:tbl>
          <w:p w14:paraId="41996302"/>
          <w:p w14:paraId="21A6698D">
            <w:pPr>
              <w:spacing w:after="40"/>
            </w:pPr>
          </w:p>
          <w:p w14:paraId="13D0CC26">
            <w:pPr>
              <w:spacing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四、近期计划：已细化到半天（07/14-07/16）</w:t>
            </w:r>
          </w:p>
          <w:tbl>
            <w:tblPr>
              <w:tblStyle w:val="7"/>
              <w:tblW w:w="8100" w:type="dxa"/>
              <w:tblInd w:w="1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0"/>
              <w:gridCol w:w="1150"/>
              <w:gridCol w:w="4050"/>
              <w:gridCol w:w="2000"/>
            </w:tblGrid>
            <w:tr w14:paraId="6F45B4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900" w:type="dxa"/>
                  <w:shd w:val="clear" w:color="auto" w:fill="D9EAF7"/>
                  <w:vAlign w:val="center"/>
                </w:tcPr>
                <w:p w14:paraId="5CE79C66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时间</w:t>
                  </w:r>
                </w:p>
              </w:tc>
              <w:tc>
                <w:tcPr>
                  <w:tcW w:w="1150" w:type="dxa"/>
                  <w:shd w:val="clear" w:color="auto" w:fill="D9EAF7"/>
                  <w:vAlign w:val="center"/>
                </w:tcPr>
                <w:p w14:paraId="1EDF91F3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目标</w:t>
                  </w:r>
                </w:p>
              </w:tc>
              <w:tc>
                <w:tcPr>
                  <w:tcW w:w="4050" w:type="dxa"/>
                  <w:shd w:val="clear" w:color="auto" w:fill="D9EAF7"/>
                  <w:vAlign w:val="center"/>
                </w:tcPr>
                <w:p w14:paraId="0DD9612F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分工与具体任务</w:t>
                  </w:r>
                </w:p>
              </w:tc>
              <w:tc>
                <w:tcPr>
                  <w:tcW w:w="2000" w:type="dxa"/>
                  <w:shd w:val="clear" w:color="auto" w:fill="D9EAF7"/>
                  <w:vAlign w:val="center"/>
                </w:tcPr>
                <w:p w14:paraId="713CCA79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验收点</w:t>
                  </w:r>
                </w:p>
              </w:tc>
            </w:tr>
            <w:tr w14:paraId="3DAD65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vAlign w:val="center"/>
                </w:tcPr>
                <w:p w14:paraId="66ED5DB0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07/14 上午</w:t>
                  </w:r>
                </w:p>
              </w:tc>
              <w:tc>
                <w:tcPr>
                  <w:tcW w:w="1150" w:type="dxa"/>
                  <w:vAlign w:val="center"/>
                </w:tcPr>
                <w:p w14:paraId="6E1870DC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启动与范围</w:t>
                  </w:r>
                </w:p>
              </w:tc>
              <w:tc>
                <w:tcPr>
                  <w:tcW w:w="4050" w:type="dxa"/>
                  <w:vAlign w:val="center"/>
                </w:tcPr>
                <w:p w14:paraId="39C22924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王诺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确认P0/非目标和目录；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列页面/字段；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列核心实体；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选10篇样例；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建需求-成果-测试矩阵。</w:t>
                  </w:r>
                </w:p>
              </w:tc>
              <w:tc>
                <w:tcPr>
                  <w:tcW w:w="2000" w:type="dxa"/>
                  <w:vAlign w:val="center"/>
                </w:tcPr>
                <w:p w14:paraId="5A808C7D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计划V0.8、范围清单、样例与追踪矩阵可评审</w:t>
                  </w:r>
                </w:p>
              </w:tc>
            </w:tr>
            <w:tr w14:paraId="719200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vAlign w:val="center"/>
                </w:tcPr>
                <w:p w14:paraId="622171E2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07/14 下午</w:t>
                  </w:r>
                </w:p>
              </w:tc>
              <w:tc>
                <w:tcPr>
                  <w:tcW w:w="1150" w:type="dxa"/>
                  <w:vAlign w:val="center"/>
                </w:tcPr>
                <w:p w14:paraId="554D9A2A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技术Spike</w:t>
                  </w:r>
                </w:p>
              </w:tc>
              <w:tc>
                <w:tcPr>
                  <w:tcW w:w="4050" w:type="dxa"/>
                  <w:vAlign w:val="center"/>
                </w:tcPr>
                <w:p w14:paraId="7EECC473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王诺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组织候选方案评估；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搭React/Vite壳；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搭后端、/health和迁移；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跑1篇抓取-解析-摘要；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实测启动并记风险。</w:t>
                  </w:r>
                </w:p>
              </w:tc>
              <w:tc>
                <w:tcPr>
                  <w:tcW w:w="2000" w:type="dxa"/>
                  <w:vAlign w:val="center"/>
                </w:tcPr>
                <w:p w14:paraId="5BE724BF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前后端可启动；1篇论文链路可复现；风险清单</w:t>
                  </w:r>
                </w:p>
              </w:tc>
            </w:tr>
            <w:tr w14:paraId="26C94B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vAlign w:val="center"/>
                </w:tcPr>
                <w:p w14:paraId="77FDFEDA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07/15 上午</w:t>
                  </w:r>
                </w:p>
              </w:tc>
              <w:tc>
                <w:tcPr>
                  <w:tcW w:w="1150" w:type="dxa"/>
                  <w:vAlign w:val="center"/>
                </w:tcPr>
                <w:p w14:paraId="7F832EFB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架构与选型</w:t>
                  </w:r>
                </w:p>
              </w:tc>
              <w:tc>
                <w:tcPr>
                  <w:tcW w:w="4050" w:type="dxa"/>
                  <w:vAlign w:val="center"/>
                </w:tcPr>
                <w:p w14:paraId="6CBEB9CD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王诺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比较架构风格并起草ADR；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验证路由/API客户端；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验证ORM/OpenAPI；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定义任务输入输出和超时；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审查可测试性。</w:t>
                  </w:r>
                </w:p>
              </w:tc>
              <w:tc>
                <w:tcPr>
                  <w:tcW w:w="2000" w:type="dxa"/>
                  <w:vAlign w:val="center"/>
                </w:tcPr>
                <w:p w14:paraId="74C4A405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ADR-001~003草案、接口/任务数据结构</w:t>
                  </w:r>
                </w:p>
              </w:tc>
            </w:tr>
            <w:tr w14:paraId="3EAEDD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vAlign w:val="center"/>
                </w:tcPr>
                <w:p w14:paraId="33F54E60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07/15 下午</w:t>
                  </w:r>
                </w:p>
              </w:tc>
              <w:tc>
                <w:tcPr>
                  <w:tcW w:w="1150" w:type="dxa"/>
                  <w:vAlign w:val="center"/>
                </w:tcPr>
                <w:p w14:paraId="78D37526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架构视图</w:t>
                  </w:r>
                </w:p>
              </w:tc>
              <w:tc>
                <w:tcPr>
                  <w:tcW w:w="4050" w:type="dxa"/>
                  <w:vAlign w:val="center"/>
                </w:tcPr>
                <w:p w14:paraId="310B111D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王诺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画上下文/容器图；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画前端组件与交互时序；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画ER/后端组件图；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画处理活动/问答序列图；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补齐用例追踪。</w:t>
                  </w:r>
                </w:p>
              </w:tc>
              <w:tc>
                <w:tcPr>
                  <w:tcW w:w="2000" w:type="dxa"/>
                  <w:vAlign w:val="center"/>
                </w:tcPr>
                <w:p w14:paraId="4CC2C551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用例、分析、设计模型V0.8及4类架构视图</w:t>
                  </w:r>
                </w:p>
              </w:tc>
            </w:tr>
            <w:tr w14:paraId="4AF58E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vAlign w:val="center"/>
                </w:tcPr>
                <w:p w14:paraId="14BBB5B9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07/16 上午</w:t>
                  </w:r>
                </w:p>
              </w:tc>
              <w:tc>
                <w:tcPr>
                  <w:tcW w:w="1150" w:type="dxa"/>
                  <w:vAlign w:val="center"/>
                </w:tcPr>
                <w:p w14:paraId="10344127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代码骨架</w:t>
                  </w:r>
                </w:p>
              </w:tc>
              <w:tc>
                <w:tcPr>
                  <w:tcW w:w="4050" w:type="dxa"/>
                  <w:vAlign w:val="center"/>
                </w:tcPr>
                <w:p w14:paraId="14DD338B">
                  <w:pPr>
                    <w:spacing w:before="0" w:after="40" w:line="252" w:lineRule="auto"/>
                    <w:jc w:val="left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建页面/组件/API目录；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建分层后端、日志、异常、迁移；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建crawler/parser/qa/worker骨架；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配置lint/format/test。</w:t>
                  </w:r>
                </w:p>
              </w:tc>
              <w:tc>
                <w:tcPr>
                  <w:tcW w:w="2000" w:type="dxa"/>
                  <w:vAlign w:val="center"/>
                </w:tcPr>
                <w:p w14:paraId="42522997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骨架可构建；/health、/docs和任务状态可检查</w:t>
                  </w:r>
                </w:p>
              </w:tc>
            </w:tr>
            <w:tr w14:paraId="077F47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0" w:type="dxa"/>
                  <w:vAlign w:val="center"/>
                </w:tcPr>
                <w:p w14:paraId="4E113842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07/16 下午</w:t>
                  </w:r>
                </w:p>
              </w:tc>
              <w:tc>
                <w:tcPr>
                  <w:tcW w:w="1150" w:type="dxa"/>
                  <w:vAlign w:val="center"/>
                </w:tcPr>
                <w:p w14:paraId="7583CF68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基线评审</w:t>
                  </w:r>
                </w:p>
              </w:tc>
              <w:tc>
                <w:tcPr>
                  <w:tcW w:w="4050" w:type="dxa"/>
                  <w:vAlign w:val="center"/>
                </w:tcPr>
                <w:p w14:paraId="6ADEFFF3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王诺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主持架构/UML/接口评审；全员修复重大问题；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记录结论；随后细化07/17-07/19计划。</w:t>
                  </w:r>
                </w:p>
              </w:tc>
              <w:tc>
                <w:tcPr>
                  <w:tcW w:w="2000" w:type="dxa"/>
                  <w:vAlign w:val="center"/>
                </w:tcPr>
                <w:p w14:paraId="2FB24876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架构基线V1.0、编程规范、评审记录、更新计划</w:t>
                  </w:r>
                </w:p>
              </w:tc>
            </w:tr>
          </w:tbl>
          <w:p w14:paraId="165E8052"/>
          <w:p w14:paraId="50DCDC67">
            <w:pPr>
              <w:spacing w:after="40"/>
            </w:pPr>
          </w:p>
          <w:p w14:paraId="4AE4CCB0">
            <w:pPr>
              <w:spacing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五、中期计划：按天规划（07/17-07/20）</w:t>
            </w:r>
          </w:p>
          <w:tbl>
            <w:tblPr>
              <w:tblStyle w:val="7"/>
              <w:tblW w:w="8100" w:type="dxa"/>
              <w:tblInd w:w="1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0"/>
              <w:gridCol w:w="1450"/>
              <w:gridCol w:w="4050"/>
              <w:gridCol w:w="1850"/>
            </w:tblGrid>
            <w:tr w14:paraId="4FA85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blHeader/>
              </w:trPr>
              <w:tc>
                <w:tcPr>
                  <w:tcW w:w="750" w:type="dxa"/>
                  <w:shd w:val="clear" w:color="auto" w:fill="D9EAF7"/>
                  <w:vAlign w:val="center"/>
                </w:tcPr>
                <w:p w14:paraId="1BAAA0E8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日期</w:t>
                  </w:r>
                </w:p>
              </w:tc>
              <w:tc>
                <w:tcPr>
                  <w:tcW w:w="1450" w:type="dxa"/>
                  <w:shd w:val="clear" w:color="auto" w:fill="D9EAF7"/>
                  <w:vAlign w:val="center"/>
                </w:tcPr>
                <w:p w14:paraId="77A47260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目标</w:t>
                  </w:r>
                </w:p>
              </w:tc>
              <w:tc>
                <w:tcPr>
                  <w:tcW w:w="4050" w:type="dxa"/>
                  <w:shd w:val="clear" w:color="auto" w:fill="D9EAF7"/>
                  <w:vAlign w:val="center"/>
                </w:tcPr>
                <w:p w14:paraId="6AAB1B0A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主要任务</w:t>
                  </w:r>
                </w:p>
              </w:tc>
              <w:tc>
                <w:tcPr>
                  <w:tcW w:w="1850" w:type="dxa"/>
                  <w:shd w:val="clear" w:color="auto" w:fill="D9EAF7"/>
                  <w:vAlign w:val="center"/>
                </w:tcPr>
                <w:p w14:paraId="783B4351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完成定义</w:t>
                  </w:r>
                </w:p>
              </w:tc>
            </w:tr>
            <w:tr w14:paraId="55960C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53D25D20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07/17</w:t>
                  </w:r>
                </w:p>
              </w:tc>
              <w:tc>
                <w:tcPr>
                  <w:tcW w:w="1450" w:type="dxa"/>
                  <w:vAlign w:val="center"/>
                </w:tcPr>
                <w:p w14:paraId="74106D84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架构骨架和契约冻结</w:t>
                  </w:r>
                </w:p>
              </w:tc>
              <w:tc>
                <w:tcPr>
                  <w:tcW w:w="4050" w:type="dxa"/>
                  <w:vAlign w:val="center"/>
                </w:tcPr>
                <w:p w14:paraId="223C6033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完成检索/详情/Wiki/问答占位页；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完成分层服务、统一错误和OpenAPI；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完成任务队列最小流程；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王诺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冻结字段/错误码；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验证质量门禁。</w:t>
                  </w:r>
                </w:p>
              </w:tc>
              <w:tc>
                <w:tcPr>
                  <w:tcW w:w="1850" w:type="dxa"/>
                  <w:vAlign w:val="center"/>
                </w:tcPr>
                <w:p w14:paraId="57235C05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前后端、任务处理、数据库均可启动；接口契约V1.0</w:t>
                  </w:r>
                </w:p>
              </w:tc>
            </w:tr>
            <w:tr w14:paraId="57042B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15A52FE8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07/18</w:t>
                  </w:r>
                </w:p>
              </w:tc>
              <w:tc>
                <w:tcPr>
                  <w:tcW w:w="1450" w:type="dxa"/>
                  <w:vAlign w:val="center"/>
                </w:tcPr>
                <w:p w14:paraId="4CB7A4E5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用例1：论文搜索与详情</w:t>
                  </w:r>
                </w:p>
              </w:tc>
              <w:tc>
                <w:tcPr>
                  <w:tcW w:w="4050" w:type="dxa"/>
                  <w:vAlign w:val="center"/>
                </w:tcPr>
                <w:p w14:paraId="5228103D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抓取并清洗不少于100条元数据；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实现去重入库、筛选和分页；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接入真实API并完成加载/空/错状态；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抽查20条数据。</w:t>
                  </w:r>
                </w:p>
              </w:tc>
              <w:tc>
                <w:tcPr>
                  <w:tcW w:w="1850" w:type="dxa"/>
                  <w:vAlign w:val="center"/>
                </w:tcPr>
                <w:p w14:paraId="1F07185D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搜索-列表-详情闭环；重复ID不重复入库</w:t>
                  </w:r>
                </w:p>
              </w:tc>
            </w:tr>
            <w:tr w14:paraId="5CCD09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47" w:hRule="atLeast"/>
              </w:trPr>
              <w:tc>
                <w:tcPr>
                  <w:tcW w:w="750" w:type="dxa"/>
                  <w:vAlign w:val="center"/>
                </w:tcPr>
                <w:p w14:paraId="55E05A58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07/19</w:t>
                  </w:r>
                </w:p>
              </w:tc>
              <w:tc>
                <w:tcPr>
                  <w:tcW w:w="1450" w:type="dxa"/>
                  <w:vAlign w:val="center"/>
                </w:tcPr>
                <w:p w14:paraId="424CF508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用例2：解析与Wiki</w:t>
                  </w:r>
                </w:p>
              </w:tc>
              <w:tc>
                <w:tcPr>
                  <w:tcW w:w="4050" w:type="dxa"/>
                  <w:vAlign w:val="center"/>
                </w:tcPr>
                <w:p w14:paraId="70CED388">
                  <w:pPr>
                    <w:spacing w:before="0" w:after="40" w:line="252" w:lineRule="auto"/>
                    <w:jc w:val="left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实现PDF提取、章节识别summary/concept/methods输出；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存储任务和结果；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实现状态轮询和Wiki标签页；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抽测10篇。当天细化20-22日。</w:t>
                  </w:r>
                </w:p>
              </w:tc>
              <w:tc>
                <w:tcPr>
                  <w:tcW w:w="1850" w:type="dxa"/>
                  <w:vAlign w:val="center"/>
                </w:tcPr>
                <w:p w14:paraId="4DBA97A1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10篇中至少8篇生成必需字段；失败可追踪</w:t>
                  </w:r>
                </w:p>
              </w:tc>
            </w:tr>
            <w:tr w14:paraId="50FDC4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258F2929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07/20</w:t>
                  </w:r>
                </w:p>
              </w:tc>
              <w:tc>
                <w:tcPr>
                  <w:tcW w:w="1450" w:type="dxa"/>
                  <w:vAlign w:val="center"/>
                </w:tcPr>
                <w:p w14:paraId="3969BCE4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用例3：出处问答</w:t>
                  </w:r>
                </w:p>
              </w:tc>
              <w:tc>
                <w:tcPr>
                  <w:tcW w:w="4050" w:type="dxa"/>
                  <w:vAlign w:val="center"/>
                </w:tcPr>
                <w:p w14:paraId="48491FAD">
                  <w:pPr>
                    <w:spacing w:before="0" w:after="40" w:line="252" w:lineRule="auto"/>
                  </w:pP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陆亚堃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实现切块与Top-K召回；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张益宁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实现生成、引用校验和无依据拒答；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卢沫涵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实现问答状态和引用跳转；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刘以天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运行20题黄金集；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王诺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冻结降级策略。</w:t>
                  </w:r>
                </w:p>
              </w:tc>
              <w:tc>
                <w:tcPr>
                  <w:tcW w:w="1850" w:type="dxa"/>
                  <w:vAlign w:val="center"/>
                </w:tcPr>
                <w:p w14:paraId="4E476CC2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答案带可核验出处；无依据问题拒答；问答评测记录</w:t>
                  </w:r>
                </w:p>
              </w:tc>
            </w:tr>
          </w:tbl>
          <w:p w14:paraId="7585005A"/>
          <w:p w14:paraId="6F0EE874">
            <w:pPr>
              <w:spacing w:after="40"/>
            </w:pPr>
          </w:p>
          <w:p w14:paraId="0D6268B8">
            <w:pPr>
              <w:spacing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六、远期计划：阶段级规划（07/21-07/24）</w:t>
            </w:r>
          </w:p>
          <w:tbl>
            <w:tblPr>
              <w:tblStyle w:val="7"/>
              <w:tblW w:w="8100" w:type="dxa"/>
              <w:tblInd w:w="1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0"/>
              <w:gridCol w:w="1450"/>
              <w:gridCol w:w="4050"/>
              <w:gridCol w:w="1850"/>
            </w:tblGrid>
            <w:tr w14:paraId="0FD02C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750" w:type="dxa"/>
                  <w:shd w:val="clear" w:color="auto" w:fill="D9EAF7"/>
                  <w:vAlign w:val="center"/>
                </w:tcPr>
                <w:p w14:paraId="10A371F1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日期</w:t>
                  </w:r>
                </w:p>
              </w:tc>
              <w:tc>
                <w:tcPr>
                  <w:tcW w:w="1450" w:type="dxa"/>
                  <w:shd w:val="clear" w:color="auto" w:fill="D9EAF7"/>
                  <w:vAlign w:val="center"/>
                </w:tcPr>
                <w:p w14:paraId="2270EFD0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阶段目标</w:t>
                  </w:r>
                </w:p>
              </w:tc>
              <w:tc>
                <w:tcPr>
                  <w:tcW w:w="4050" w:type="dxa"/>
                  <w:shd w:val="clear" w:color="auto" w:fill="D9EAF7"/>
                  <w:vAlign w:val="center"/>
                </w:tcPr>
                <w:p w14:paraId="49D58331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当前粗粒度范围</w:t>
                  </w:r>
                </w:p>
              </w:tc>
              <w:tc>
                <w:tcPr>
                  <w:tcW w:w="1850" w:type="dxa"/>
                  <w:shd w:val="clear" w:color="auto" w:fill="D9EAF7"/>
                  <w:vAlign w:val="center"/>
                </w:tcPr>
                <w:p w14:paraId="699DC216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阶段出口</w:t>
                  </w:r>
                </w:p>
              </w:tc>
            </w:tr>
            <w:tr w14:paraId="08E8C5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27B877AD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07/21</w:t>
                  </w:r>
                </w:p>
              </w:tc>
              <w:tc>
                <w:tcPr>
                  <w:tcW w:w="1450" w:type="dxa"/>
                  <w:vAlign w:val="center"/>
                </w:tcPr>
                <w:p w14:paraId="100DFD72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功能收口与集成</w:t>
                  </w:r>
                </w:p>
              </w:tc>
              <w:tc>
                <w:tcPr>
                  <w:tcW w:w="4050" w:type="dxa"/>
                  <w:vAlign w:val="center"/>
                </w:tcPr>
                <w:p w14:paraId="7BA63817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贯通搜索→详情→解析→Wiki→问答；补齐收藏、阅读历史和笔记；处理幂等、重试和阻断缺陷。</w:t>
                  </w:r>
                </w:p>
              </w:tc>
              <w:tc>
                <w:tcPr>
                  <w:tcW w:w="1850" w:type="dxa"/>
                  <w:vAlign w:val="center"/>
                </w:tcPr>
                <w:p w14:paraId="79B49CDE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主流程连续成功3次，无P0阻断缺陷</w:t>
                  </w:r>
                </w:p>
              </w:tc>
            </w:tr>
            <w:tr w14:paraId="33C9F2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64AE18D4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07/22</w:t>
                  </w:r>
                </w:p>
              </w:tc>
              <w:tc>
                <w:tcPr>
                  <w:tcW w:w="1450" w:type="dxa"/>
                  <w:vAlign w:val="center"/>
                </w:tcPr>
                <w:p w14:paraId="4C92D79C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技术测试与改进</w:t>
                  </w:r>
                </w:p>
              </w:tc>
              <w:tc>
                <w:tcPr>
                  <w:tcW w:w="4050" w:type="dxa"/>
                  <w:vAlign w:val="center"/>
                </w:tcPr>
                <w:p w14:paraId="42579F8D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功能回归；解析/问答准确性抽测；核心接口并发与P95测试；定位瓶颈并完成至少一轮优化。结束前细化23-24日。</w:t>
                  </w:r>
                </w:p>
              </w:tc>
              <w:tc>
                <w:tcPr>
                  <w:tcW w:w="1850" w:type="dxa"/>
                  <w:vAlign w:val="center"/>
                </w:tcPr>
                <w:p w14:paraId="69DAD4DA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指标达标或形成基线、瓶颈和前后对比证据</w:t>
                  </w:r>
                </w:p>
              </w:tc>
            </w:tr>
            <w:tr w14:paraId="5BAA5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492C290E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07/23</w:t>
                  </w:r>
                </w:p>
              </w:tc>
              <w:tc>
                <w:tcPr>
                  <w:tcW w:w="1450" w:type="dxa"/>
                  <w:vAlign w:val="center"/>
                </w:tcPr>
                <w:p w14:paraId="7B7CA53F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文档评审与候选版</w:t>
                  </w:r>
                </w:p>
              </w:tc>
              <w:tc>
                <w:tcPr>
                  <w:tcW w:w="4050" w:type="dxa"/>
                  <w:vAlign w:val="center"/>
                </w:tcPr>
                <w:p w14:paraId="5B30AB6A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完成Vision返工、软件架构文档、UML、部署/API说明；在干净环境启动候选版；执行成果一致性检查。</w:t>
                  </w:r>
                </w:p>
              </w:tc>
              <w:tc>
                <w:tcPr>
                  <w:tcW w:w="1850" w:type="dxa"/>
                  <w:vAlign w:val="center"/>
                </w:tcPr>
                <w:p w14:paraId="5DD5D423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重大评审意见关闭；候选版可安装、可演示</w:t>
                  </w:r>
                </w:p>
              </w:tc>
            </w:tr>
            <w:tr w14:paraId="7FF218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50" w:type="dxa"/>
                  <w:vAlign w:val="center"/>
                </w:tcPr>
                <w:p w14:paraId="24C4792A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07/24</w:t>
                  </w:r>
                </w:p>
              </w:tc>
              <w:tc>
                <w:tcPr>
                  <w:tcW w:w="1450" w:type="dxa"/>
                  <w:vAlign w:val="center"/>
                </w:tcPr>
                <w:p w14:paraId="145CF3E5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最终验收与评估</w:t>
                  </w:r>
                </w:p>
              </w:tc>
              <w:tc>
                <w:tcPr>
                  <w:tcW w:w="4050" w:type="dxa"/>
                  <w:vAlign w:val="center"/>
                </w:tcPr>
                <w:p w14:paraId="713C0C13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用3篇样例演示全链路；复核引用和降级模式；冻结版本；汇总测试、评审、偏差和开发总结。</w:t>
                  </w:r>
                </w:p>
              </w:tc>
              <w:tc>
                <w:tcPr>
                  <w:tcW w:w="1850" w:type="dxa"/>
                  <w:vAlign w:val="center"/>
                </w:tcPr>
                <w:p w14:paraId="22E0EEAD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TechPrototype目录完整；评估报告V1.0；最终验收通过</w:t>
                  </w:r>
                </w:p>
              </w:tc>
            </w:tr>
          </w:tbl>
          <w:p w14:paraId="3C7D8697"/>
          <w:p w14:paraId="400BB900">
            <w:pPr>
              <w:spacing w:after="40"/>
            </w:pPr>
          </w:p>
          <w:p w14:paraId="144813C9">
            <w:pPr>
              <w:spacing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七、滚动细化与评审机制</w:t>
            </w:r>
          </w:p>
          <w:p w14:paraId="2BCECCB6">
            <w:pPr>
              <w:spacing w:after="40" w:line="264" w:lineRule="auto"/>
              <w:ind w:left="198"/>
            </w:pPr>
            <w:r>
              <w:rPr>
                <w:rFonts w:ascii="宋体" w:hAnsi="宋体" w:eastAsia="宋体"/>
                <w:b w:val="0"/>
                <w:sz w:val="19"/>
              </w:rPr>
              <w:t>07/16：依据Spike和架构评审，锁定技术栈、接口及07/17-07/19个人任务。</w:t>
            </w:r>
          </w:p>
          <w:p w14:paraId="76931E13">
            <w:pPr>
              <w:spacing w:after="40" w:line="264" w:lineRule="auto"/>
              <w:ind w:left="198"/>
            </w:pPr>
            <w:r>
              <w:rPr>
                <w:rFonts w:ascii="宋体" w:hAnsi="宋体" w:eastAsia="宋体"/>
                <w:b w:val="0"/>
                <w:sz w:val="19"/>
              </w:rPr>
              <w:t>07/19：依据解析成功率和联调缺陷，细化07/20-07/22，并决定算法/功能降级范围。</w:t>
            </w:r>
          </w:p>
          <w:p w14:paraId="14807C49">
            <w:pPr>
              <w:spacing w:after="40" w:line="264" w:lineRule="auto"/>
              <w:ind w:left="198"/>
            </w:pPr>
            <w:r>
              <w:rPr>
                <w:rFonts w:ascii="宋体" w:hAnsi="宋体" w:eastAsia="宋体"/>
                <w:b w:val="0"/>
                <w:sz w:val="19"/>
              </w:rPr>
              <w:t>07/22：依据性能与回归结果，细化07/23-07/24修复、文档和验收顺序。</w:t>
            </w:r>
          </w:p>
          <w:p w14:paraId="5DD4AE02">
            <w:pPr>
              <w:spacing w:after="40" w:line="264" w:lineRule="auto"/>
              <w:ind w:left="198"/>
            </w:pPr>
            <w:r>
              <w:rPr>
                <w:rFonts w:ascii="宋体" w:hAnsi="宋体" w:eastAsia="宋体"/>
                <w:b w:val="0"/>
                <w:sz w:val="19"/>
              </w:rPr>
              <w:t>每日</w:t>
            </w:r>
            <w:r>
              <w:rPr>
                <w:rFonts w:hint="eastAsia" w:ascii="宋体" w:hAnsi="宋体"/>
                <w:b w:val="0"/>
                <w:sz w:val="19"/>
                <w:lang w:val="en-US" w:eastAsia="zh-CN"/>
              </w:rPr>
              <w:t>15</w:t>
            </w:r>
            <w:r>
              <w:rPr>
                <w:rFonts w:ascii="宋体" w:hAnsi="宋体" w:eastAsia="宋体"/>
                <w:b w:val="0"/>
                <w:sz w:val="19"/>
              </w:rPr>
              <w:t>分钟站会；上午/下午结束时更新成果路径和阻塞。P0缺陷当日处理，架构/接口变更先更新ADR或OpenAPI。</w:t>
            </w:r>
          </w:p>
        </w:tc>
      </w:tr>
      <w:tr w14:paraId="665D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AFCBE">
            <w:pPr>
              <w:spacing w:after="100" w:line="276" w:lineRule="auto"/>
            </w:pPr>
            <w:r>
              <w:rPr>
                <w:rFonts w:ascii="宋体" w:hAnsi="宋体" w:eastAsia="宋体"/>
                <w:b/>
                <w:sz w:val="24"/>
              </w:rPr>
              <w:t>预期成果</w:t>
            </w:r>
          </w:p>
          <w:p w14:paraId="2C20CCAB">
            <w:pPr>
              <w:numPr>
                <w:ilvl w:val="0"/>
                <w:numId w:val="1"/>
              </w:numPr>
              <w:spacing w:after="40" w:line="264" w:lineRule="auto"/>
              <w:ind w:left="425" w:leftChars="0" w:hanging="425" w:firstLineChars="0"/>
            </w:pPr>
            <w:r>
              <w:rPr>
                <w:rFonts w:ascii="宋体" w:hAnsi="宋体" w:eastAsia="宋体"/>
                <w:b w:val="0"/>
                <w:sz w:val="19"/>
              </w:rPr>
              <w:t>《迭代计划》及三次滚动细化记录；《迭代评估报告》（含评审记录、测试记录和开发总结）。</w:t>
            </w:r>
          </w:p>
          <w:p w14:paraId="5F31D9EA">
            <w:pPr>
              <w:numPr>
                <w:ilvl w:val="0"/>
                <w:numId w:val="1"/>
              </w:numPr>
              <w:spacing w:after="40" w:line="264" w:lineRule="auto"/>
              <w:ind w:left="425" w:leftChars="0" w:hanging="425" w:firstLineChars="0"/>
            </w:pPr>
            <w:r>
              <w:rPr>
                <w:rFonts w:ascii="宋体" w:hAnsi="宋体" w:eastAsia="宋体"/>
                <w:b w:val="0"/>
                <w:sz w:val="19"/>
              </w:rPr>
              <w:t>修订后的Vision文档；软件架构文档（架构风格、技术选型、上下文/容器/组件/部署视图、关键算法、质量属性及评审结论）。</w:t>
            </w:r>
          </w:p>
          <w:p w14:paraId="4E5AB7AA">
            <w:pPr>
              <w:numPr>
                <w:ilvl w:val="0"/>
                <w:numId w:val="1"/>
              </w:numPr>
              <w:spacing w:after="40" w:line="264" w:lineRule="auto"/>
              <w:ind w:left="425" w:leftChars="0" w:hanging="425" w:firstLineChars="0"/>
            </w:pPr>
            <w:r>
              <w:rPr>
                <w:rFonts w:ascii="宋体" w:hAnsi="宋体" w:eastAsia="宋体"/>
                <w:b w:val="0"/>
                <w:sz w:val="19"/>
              </w:rPr>
              <w:t>UML模型：用例模型、分析模型、设计模型，并提供需求-模型-代码-测试追踪关系。</w:t>
            </w:r>
          </w:p>
          <w:p w14:paraId="09E728D5">
            <w:pPr>
              <w:numPr>
                <w:ilvl w:val="0"/>
                <w:numId w:val="1"/>
              </w:numPr>
              <w:spacing w:after="40" w:line="264" w:lineRule="auto"/>
              <w:ind w:left="425" w:leftChars="0" w:hanging="425" w:firstLineChars="0"/>
            </w:pPr>
            <w:r>
              <w:rPr>
                <w:rFonts w:ascii="宋体" w:hAnsi="宋体" w:eastAsia="宋体"/>
                <w:b w:val="0"/>
                <w:sz w:val="19"/>
              </w:rPr>
              <w:t>编程规范和可执行质量门禁：格式化、静态检查、单元测试/接口测试命令及代码评审规则。</w:t>
            </w:r>
          </w:p>
          <w:p w14:paraId="029A3923">
            <w:pPr>
              <w:numPr>
                <w:ilvl w:val="0"/>
                <w:numId w:val="1"/>
              </w:numPr>
              <w:spacing w:after="40" w:line="264" w:lineRule="auto"/>
              <w:ind w:left="425" w:leftChars="0" w:hanging="425" w:firstLineChars="0"/>
            </w:pPr>
            <w:r>
              <w:rPr>
                <w:rFonts w:ascii="宋体" w:hAnsi="宋体" w:eastAsia="宋体"/>
                <w:b w:val="0"/>
                <w:sz w:val="19"/>
              </w:rPr>
              <w:t>技术原型代码：可运行的软件骨架及3个典型用例；README、配置样例、数据库迁移、种子数据和降级演示模式。</w:t>
            </w:r>
          </w:p>
          <w:p w14:paraId="3CB9DE7F">
            <w:pPr>
              <w:numPr>
                <w:ilvl w:val="0"/>
                <w:numId w:val="1"/>
              </w:numPr>
              <w:spacing w:after="40" w:line="264" w:lineRule="auto"/>
              <w:ind w:left="425" w:leftChars="0" w:hanging="425" w:firstLineChars="0"/>
            </w:pPr>
            <w:r>
              <w:rPr>
                <w:rFonts w:ascii="宋体" w:hAnsi="宋体" w:eastAsia="宋体"/>
                <w:b w:val="0"/>
                <w:sz w:val="19"/>
              </w:rPr>
              <w:t>测试成果：不少于100条论文元数据、10篇解析样例、20题问答黄金集、功能/准确性/性能测试脚本与改进前后数据。</w:t>
            </w:r>
          </w:p>
          <w:p w14:paraId="56E50ED0">
            <w:pPr>
              <w:numPr>
                <w:ilvl w:val="0"/>
                <w:numId w:val="1"/>
              </w:numPr>
              <w:spacing w:after="40" w:line="264" w:lineRule="auto"/>
              <w:ind w:left="425" w:leftChars="0" w:hanging="425" w:firstLineChars="0"/>
            </w:pPr>
            <w:r>
              <w:rPr>
                <w:rFonts w:ascii="宋体" w:hAnsi="宋体" w:eastAsia="宋体"/>
                <w:b w:val="0"/>
                <w:sz w:val="19"/>
              </w:rPr>
              <w:t>所有成果统一进入Git仓库的TechPrototype目录，按docs、model、src、test分类保存。</w:t>
            </w:r>
          </w:p>
        </w:tc>
      </w:tr>
      <w:tr w14:paraId="3D82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5936FB11">
            <w:pPr>
              <w:spacing w:after="100" w:line="276" w:lineRule="auto"/>
            </w:pPr>
            <w:r>
              <w:rPr>
                <w:rFonts w:ascii="宋体" w:hAnsi="宋体" w:eastAsia="宋体"/>
                <w:b/>
                <w:sz w:val="24"/>
              </w:rPr>
              <w:t>主要风险和应对方案</w:t>
            </w:r>
          </w:p>
          <w:tbl>
            <w:tblPr>
              <w:tblStyle w:val="7"/>
              <w:tblW w:w="8100" w:type="dxa"/>
              <w:tblInd w:w="1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00"/>
              <w:gridCol w:w="5700"/>
            </w:tblGrid>
            <w:tr w14:paraId="4500D3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tcPr>
                  <w:tcW w:w="2400" w:type="dxa"/>
                  <w:shd w:val="clear" w:color="auto" w:fill="D9EAF7"/>
                  <w:vAlign w:val="center"/>
                </w:tcPr>
                <w:p w14:paraId="0D0FB3D5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风险（按优先级）</w:t>
                  </w:r>
                </w:p>
              </w:tc>
              <w:tc>
                <w:tcPr>
                  <w:tcW w:w="5700" w:type="dxa"/>
                  <w:shd w:val="clear" w:color="auto" w:fill="D9EAF7"/>
                  <w:vAlign w:val="center"/>
                </w:tcPr>
                <w:p w14:paraId="2DC50764">
                  <w:pPr>
                    <w:spacing w:before="0" w:after="40" w:line="252" w:lineRule="auto"/>
                    <w:jc w:val="center"/>
                  </w:pPr>
                  <w:r>
                    <w:rPr>
                      <w:rFonts w:ascii="宋体" w:hAnsi="宋体" w:eastAsia="宋体"/>
                      <w:b/>
                      <w:sz w:val="17"/>
                    </w:rPr>
                    <w:t>缓解与应急措施</w:t>
                  </w:r>
                </w:p>
              </w:tc>
            </w:tr>
            <w:tr w14:paraId="5FAD16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00" w:type="dxa"/>
                  <w:vAlign w:val="center"/>
                </w:tcPr>
                <w:p w14:paraId="4A28184F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1. 11天范围过大，集成或文档延期</w:t>
                  </w:r>
                </w:p>
              </w:tc>
              <w:tc>
                <w:tcPr>
                  <w:tcW w:w="5700" w:type="dxa"/>
                  <w:vAlign w:val="center"/>
                </w:tcPr>
                <w:p w14:paraId="2D5D56C9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缓解：只保证3个典型用例和P0技术指标；每次滚动会议冻结未来2-3天任务。应急：收藏/笔记等P1功能降级，优先保留搜索、解析、出处问答。</w:t>
                  </w:r>
                </w:p>
              </w:tc>
            </w:tr>
            <w:tr w14:paraId="1359E6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00" w:type="dxa"/>
                  <w:vAlign w:val="center"/>
                </w:tcPr>
                <w:p w14:paraId="572DE157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2. PDF解析和问答准确性不足</w:t>
                  </w:r>
                </w:p>
              </w:tc>
              <w:tc>
                <w:tcPr>
                  <w:tcW w:w="5700" w:type="dxa"/>
                  <w:vAlign w:val="center"/>
                </w:tcPr>
                <w:p w14:paraId="17AB8B04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缓解：固定10篇样例和20题黄金集，保留页码/段落定位，分阶段统计失败。应急：限制复杂公式/表格解析；启用预生成结构化结果和无依据拒答。</w:t>
                  </w:r>
                </w:p>
              </w:tc>
            </w:tr>
            <w:tr w14:paraId="71E82D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00" w:type="dxa"/>
                  <w:vAlign w:val="center"/>
                </w:tcPr>
                <w:p w14:paraId="6CEEF77B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3. arXiv、模型服务或网络不稳定</w:t>
                  </w:r>
                </w:p>
              </w:tc>
              <w:tc>
                <w:tcPr>
                  <w:tcW w:w="5700" w:type="dxa"/>
                  <w:vAlign w:val="center"/>
                </w:tcPr>
                <w:p w14:paraId="00E28F93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缓解：限速、超时、重试、缓存和失败日志。应急：准备100条seed数据、10篇本地PDF及无密钥样例模式，确保离线演示。</w:t>
                  </w:r>
                </w:p>
              </w:tc>
            </w:tr>
            <w:tr w14:paraId="573762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00" w:type="dxa"/>
                  <w:vAlign w:val="center"/>
                </w:tcPr>
                <w:p w14:paraId="7A0ECF98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4. 前后端接口或任务状态理解不一致</w:t>
                  </w:r>
                </w:p>
              </w:tc>
              <w:tc>
                <w:tcPr>
                  <w:tcW w:w="5700" w:type="dxa"/>
                  <w:vAlign w:val="center"/>
                </w:tcPr>
                <w:p w14:paraId="2DB70B6F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缓解：07/16前冻结OpenAPI、字段枚举和错误码，变更先改契约。应急：前端继续使用版本化Mock，</w:t>
                  </w:r>
                  <w:r>
                    <w:rPr>
                      <w:rFonts w:hint="eastAsia" w:ascii="宋体" w:hAnsi="宋体"/>
                      <w:b w:val="0"/>
                      <w:sz w:val="17"/>
                      <w:lang w:val="en-US" w:eastAsia="zh-CN"/>
                    </w:rPr>
                    <w:t>组长</w:t>
                  </w:r>
                  <w:r>
                    <w:rPr>
                      <w:rFonts w:ascii="宋体" w:hAnsi="宋体" w:eastAsia="宋体"/>
                      <w:b w:val="0"/>
                      <w:sz w:val="17"/>
                    </w:rPr>
                    <w:t>当天裁决冲突。</w:t>
                  </w:r>
                </w:p>
              </w:tc>
            </w:tr>
            <w:tr w14:paraId="147402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400" w:type="dxa"/>
                  <w:vAlign w:val="center"/>
                </w:tcPr>
                <w:p w14:paraId="0C989B7C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5. 性能指标未达到预期</w:t>
                  </w:r>
                </w:p>
              </w:tc>
              <w:tc>
                <w:tcPr>
                  <w:tcW w:w="5700" w:type="dxa"/>
                  <w:vAlign w:val="center"/>
                </w:tcPr>
                <w:p w14:paraId="3050EEB4">
                  <w:pPr>
                    <w:spacing w:before="0" w:after="40" w:line="252" w:lineRule="auto"/>
                  </w:pPr>
                  <w:r>
                    <w:rPr>
                      <w:rFonts w:ascii="宋体" w:hAnsi="宋体" w:eastAsia="宋体"/>
                      <w:b w:val="0"/>
                      <w:sz w:val="17"/>
                    </w:rPr>
                    <w:t>缓解：分别测量检索、解析、召回和生成耗时，使用索引、缓存和异步任务。应急：报告检索阶段P95及瓶颈证据，将LLM生成耗时单独呈现。</w:t>
                  </w:r>
                </w:p>
              </w:tc>
            </w:tr>
          </w:tbl>
          <w:p w14:paraId="3A2862D9"/>
          <w:p w14:paraId="475832EA">
            <w:pPr>
              <w:spacing w:after="40"/>
            </w:pPr>
          </w:p>
        </w:tc>
      </w:tr>
    </w:tbl>
    <w:p w14:paraId="490918BB">
      <w:pPr>
        <w:pStyle w:val="5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5042D"/>
    <w:multiLevelType w:val="singleLevel"/>
    <w:tmpl w:val="ACC504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677278A"/>
    <w:rsid w:val="553A0002"/>
    <w:rsid w:val="594C57E6"/>
    <w:rsid w:val="66492E28"/>
    <w:rsid w:val="75E8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4</Pages>
  <Words>2690</Words>
  <Characters>3298</Characters>
  <Lines>2</Lines>
  <Paragraphs>1</Paragraphs>
  <TotalTime>2</TotalTime>
  <ScaleCrop>false</ScaleCrop>
  <LinksUpToDate>false</LinksUpToDate>
  <CharactersWithSpaces>3319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王诺</cp:lastModifiedBy>
  <dcterms:modified xsi:type="dcterms:W3CDTF">2026-07-14T02:48:10Z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eyJoZGlkIjoiNGI3NmM0OTZlNDZkMzY5NmQzZjQ3Yjk5OGIyY2I5NmMiLCJ1c2VySWQiOiIxNjkzODI3MzU4In0=</vt:lpwstr>
  </property>
  <property fmtid="{D5CDD505-2E9C-101B-9397-08002B2CF9AE}" pid="3" name="KSOProductBuildVer">
    <vt:lpwstr>2052-12.1.0.20305</vt:lpwstr>
  </property>
  <property fmtid="{D5CDD505-2E9C-101B-9397-08002B2CF9AE}" pid="4" name="ICV">
    <vt:lpwstr>053C378136CC4594A6C79D8F12BBE756_12</vt:lpwstr>
  </property>
</Properties>
</file>