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1743A">
      <w:pPr>
        <w:jc w:val="right"/>
      </w:pPr>
      <w:bookmarkStart w:id="19" w:name="_GoBack"/>
      <w:bookmarkEnd w:id="19"/>
      <w:r>
        <w:rPr>
          <w:rFonts w:hint="eastAsia" w:ascii="Arial" w:hAnsi="Arial"/>
          <w:b/>
          <w:sz w:val="36"/>
        </w:rPr>
        <w:fldChar w:fldCharType="begin"/>
      </w:r>
      <w:r>
        <w:rPr>
          <w:rFonts w:hint="eastAsia" w:ascii="Arial" w:hAnsi="Arial"/>
          <w:b/>
          <w:sz w:val="36"/>
        </w:rPr>
        <w:instrText xml:space="preserve"> SUBJECT  \* MERGEFORMAT </w:instrText>
      </w:r>
      <w:r>
        <w:rPr>
          <w:rFonts w:ascii="Arial" w:hAnsi="Arial"/>
          <w:b/>
          <w:sz w:val="36"/>
        </w:rPr>
        <w:fldChar w:fldCharType="separate"/>
      </w:r>
      <w:r>
        <w:rPr>
          <w:rFonts w:hint="eastAsia" w:ascii="Arial" w:hAnsi="Arial"/>
          <w:b/>
          <w:sz w:val="36"/>
        </w:rPr>
        <w:fldChar w:fldCharType="end"/>
      </w:r>
      <w:r>
        <w:rPr>
          <w:rFonts w:hint="eastAsia" w:ascii="Arial" w:hAnsi="Arial"/>
          <w:b/>
          <w:sz w:val="36"/>
        </w:rPr>
        <w:t>PaperMate：ArXiv 论文阅读工具</w:t>
      </w:r>
    </w:p>
    <w:p w14:paraId="01D4D401">
      <w:pPr>
        <w:pStyle w:val="31"/>
        <w:jc w:val="right"/>
      </w:pPr>
    </w:p>
    <w:p w14:paraId="5CD5D273">
      <w:pPr>
        <w:pStyle w:val="31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</w:p>
    <w:p w14:paraId="11F76671">
      <w:pPr>
        <w:pStyle w:val="31"/>
        <w:jc w:val="right"/>
      </w:pPr>
    </w:p>
    <w:p w14:paraId="5B21AD4E">
      <w:pPr>
        <w:pStyle w:val="31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</w:t>
      </w:r>
      <w:r>
        <w:rPr>
          <w:rFonts w:hint="eastAsia" w:ascii="Arial" w:hAnsi="Arial"/>
          <w:sz w:val="28"/>
          <w:lang w:val="en-US" w:eastAsia="zh-CN"/>
        </w:rPr>
        <w:t>1</w:t>
      </w:r>
      <w:r>
        <w:rPr>
          <w:rFonts w:ascii="Arial" w:hAnsi="Arial"/>
          <w:sz w:val="28"/>
        </w:rPr>
        <w:t>&gt;</w:t>
      </w:r>
    </w:p>
    <w:p w14:paraId="36026247">
      <w:pPr>
        <w:pStyle w:val="51"/>
      </w:pPr>
    </w:p>
    <w:p w14:paraId="14810893">
      <w:pPr>
        <w:pStyle w:val="51"/>
      </w:pPr>
    </w:p>
    <w:p w14:paraId="3532AD85">
      <w:pPr>
        <w:pStyle w:val="31"/>
        <w:rPr>
          <w:sz w:val="28"/>
        </w:rPr>
      </w:pPr>
    </w:p>
    <w:p w14:paraId="7437910B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12C44903">
      <w:pPr>
        <w:pStyle w:val="31"/>
      </w:pPr>
      <w:r>
        <w:rPr>
          <w:rFonts w:hint="eastAsia"/>
        </w:rPr>
        <w:t>修订历史记录</w:t>
      </w:r>
    </w:p>
    <w:tbl>
      <w:tblPr>
        <w:tblStyle w:val="32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7A2DC8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F31AEDE">
            <w:pPr>
              <w:pStyle w:val="4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000E25A9">
            <w:pPr>
              <w:pStyle w:val="4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39C781E9">
            <w:pPr>
              <w:pStyle w:val="4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35CFA65B">
            <w:pPr>
              <w:pStyle w:val="4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0EB2E8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982EE97">
            <w:pPr>
              <w:pStyle w:val="44"/>
            </w:pPr>
            <w:r>
              <w:rPr>
                <w:rFonts w:hint="eastAsia" w:ascii="Times New Roman"/>
              </w:rPr>
              <w:t>7/17/2026</w:t>
            </w:r>
          </w:p>
        </w:tc>
        <w:tc>
          <w:tcPr>
            <w:tcW w:w="1152" w:type="dxa"/>
          </w:tcPr>
          <w:p w14:paraId="3F07E84E">
            <w:pPr>
              <w:pStyle w:val="44"/>
            </w:pPr>
            <w:r>
              <w:rPr>
                <w:rFonts w:hint="eastAsia"/>
              </w:rPr>
              <w:t>1.0</w:t>
            </w:r>
          </w:p>
        </w:tc>
        <w:tc>
          <w:tcPr>
            <w:tcW w:w="3744" w:type="dxa"/>
          </w:tcPr>
          <w:p w14:paraId="2D67BCD2">
            <w:pPr>
              <w:pStyle w:val="44"/>
            </w:pPr>
            <w:r>
              <w:rPr>
                <w:rFonts w:hint="eastAsia"/>
              </w:rPr>
              <w:t>初步修订软件架构文档</w:t>
            </w:r>
          </w:p>
        </w:tc>
        <w:tc>
          <w:tcPr>
            <w:tcW w:w="2304" w:type="dxa"/>
          </w:tcPr>
          <w:p w14:paraId="7FC39EE0">
            <w:pPr>
              <w:pStyle w:val="44"/>
            </w:pPr>
            <w:r>
              <w:rPr>
                <w:rFonts w:hint="eastAsia"/>
              </w:rPr>
              <w:t>王诺、刘以天</w:t>
            </w:r>
          </w:p>
        </w:tc>
      </w:tr>
      <w:tr w14:paraId="5A1607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08934B2">
            <w:pPr>
              <w:pStyle w:val="44"/>
            </w:pPr>
            <w:r>
              <w:rPr>
                <w:rFonts w:hint="eastAsia" w:ascii="Times New Roman"/>
              </w:rPr>
              <w:t>7/20/2026</w:t>
            </w:r>
          </w:p>
        </w:tc>
        <w:tc>
          <w:tcPr>
            <w:tcW w:w="1152" w:type="dxa"/>
          </w:tcPr>
          <w:p w14:paraId="2AB73C46">
            <w:pPr>
              <w:pStyle w:val="44"/>
            </w:pPr>
            <w:r>
              <w:rPr>
                <w:rFonts w:hint="eastAsia"/>
              </w:rPr>
              <w:t>1.1</w:t>
            </w:r>
          </w:p>
        </w:tc>
        <w:tc>
          <w:tcPr>
            <w:tcW w:w="3744" w:type="dxa"/>
          </w:tcPr>
          <w:p w14:paraId="52901854">
            <w:pPr>
              <w:pStyle w:val="44"/>
            </w:pPr>
            <w:r>
              <w:rPr>
                <w:rFonts w:hint="eastAsia"/>
              </w:rPr>
              <w:t>整改软件架构文档</w:t>
            </w:r>
          </w:p>
        </w:tc>
        <w:tc>
          <w:tcPr>
            <w:tcW w:w="2304" w:type="dxa"/>
          </w:tcPr>
          <w:p w14:paraId="7D023E1E">
            <w:pPr>
              <w:pStyle w:val="44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全组</w:t>
            </w:r>
            <w:r>
              <w:rPr>
                <w:rFonts w:hint="eastAsia"/>
                <w:lang w:val="en-US" w:eastAsia="zh-CN"/>
              </w:rPr>
              <w:t>成员</w:t>
            </w:r>
          </w:p>
        </w:tc>
      </w:tr>
      <w:tr w14:paraId="313483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A1C24C7">
            <w:pPr>
              <w:pStyle w:val="44"/>
            </w:pPr>
          </w:p>
        </w:tc>
        <w:tc>
          <w:tcPr>
            <w:tcW w:w="1152" w:type="dxa"/>
          </w:tcPr>
          <w:p w14:paraId="44BBAB14">
            <w:pPr>
              <w:pStyle w:val="44"/>
            </w:pPr>
          </w:p>
        </w:tc>
        <w:tc>
          <w:tcPr>
            <w:tcW w:w="3744" w:type="dxa"/>
          </w:tcPr>
          <w:p w14:paraId="6E9EEE5D">
            <w:pPr>
              <w:pStyle w:val="44"/>
            </w:pPr>
          </w:p>
        </w:tc>
        <w:tc>
          <w:tcPr>
            <w:tcW w:w="2304" w:type="dxa"/>
          </w:tcPr>
          <w:p w14:paraId="622B464B">
            <w:pPr>
              <w:pStyle w:val="44"/>
            </w:pPr>
          </w:p>
        </w:tc>
      </w:tr>
      <w:tr w14:paraId="3E150C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69D71C5">
            <w:pPr>
              <w:pStyle w:val="44"/>
            </w:pPr>
          </w:p>
        </w:tc>
        <w:tc>
          <w:tcPr>
            <w:tcW w:w="1152" w:type="dxa"/>
          </w:tcPr>
          <w:p w14:paraId="21225BC6">
            <w:pPr>
              <w:pStyle w:val="44"/>
            </w:pPr>
          </w:p>
        </w:tc>
        <w:tc>
          <w:tcPr>
            <w:tcW w:w="3744" w:type="dxa"/>
          </w:tcPr>
          <w:p w14:paraId="3E27802A">
            <w:pPr>
              <w:pStyle w:val="44"/>
            </w:pPr>
          </w:p>
        </w:tc>
        <w:tc>
          <w:tcPr>
            <w:tcW w:w="2304" w:type="dxa"/>
          </w:tcPr>
          <w:p w14:paraId="0C6C9ECE">
            <w:pPr>
              <w:pStyle w:val="44"/>
            </w:pPr>
          </w:p>
        </w:tc>
      </w:tr>
    </w:tbl>
    <w:p w14:paraId="4891E3B0"/>
    <w:p w14:paraId="1FD8AC0F">
      <w:pPr>
        <w:pStyle w:val="31"/>
      </w:pPr>
      <w:r>
        <w:br w:type="page"/>
      </w:r>
      <w:r>
        <w:rPr>
          <w:rFonts w:hint="eastAsia"/>
        </w:rPr>
        <w:t>目录</w:t>
      </w:r>
    </w:p>
    <w:p w14:paraId="564D7C1C">
      <w:pPr>
        <w:pStyle w:val="23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简介</w:t>
      </w:r>
      <w:r>
        <w:tab/>
      </w:r>
      <w:r>
        <w:fldChar w:fldCharType="begin"/>
      </w:r>
      <w:r>
        <w:instrText xml:space="preserve"> PAGEREF _Toc181629328 \h </w:instrText>
      </w:r>
      <w:r>
        <w:fldChar w:fldCharType="separate"/>
      </w:r>
      <w:r>
        <w:t>4</w:t>
      </w:r>
      <w:r>
        <w:fldChar w:fldCharType="end"/>
      </w:r>
    </w:p>
    <w:p w14:paraId="759F3501">
      <w:pPr>
        <w:pStyle w:val="28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_Toc181629329 \h </w:instrText>
      </w:r>
      <w:r>
        <w:fldChar w:fldCharType="separate"/>
      </w:r>
      <w:r>
        <w:t>4</w:t>
      </w:r>
      <w:r>
        <w:fldChar w:fldCharType="end"/>
      </w:r>
    </w:p>
    <w:p w14:paraId="77C16AB6">
      <w:pPr>
        <w:pStyle w:val="28"/>
        <w:tabs>
          <w:tab w:val="left" w:pos="1000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参考资料</w:t>
      </w:r>
      <w:r>
        <w:tab/>
      </w:r>
      <w:r>
        <w:fldChar w:fldCharType="begin"/>
      </w:r>
      <w:r>
        <w:instrText xml:space="preserve"> PAGEREF _Toc181629330 \h </w:instrText>
      </w:r>
      <w:r>
        <w:fldChar w:fldCharType="separate"/>
      </w:r>
      <w:r>
        <w:t>4</w:t>
      </w:r>
      <w:r>
        <w:fldChar w:fldCharType="end"/>
      </w:r>
    </w:p>
    <w:p w14:paraId="5227B1FD">
      <w:pPr>
        <w:pStyle w:val="23"/>
        <w:tabs>
          <w:tab w:val="left" w:pos="432"/>
        </w:tabs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用例视图</w:t>
      </w:r>
      <w:r>
        <w:tab/>
      </w:r>
      <w:r>
        <w:fldChar w:fldCharType="begin"/>
      </w:r>
      <w:r>
        <w:instrText xml:space="preserve"> PAGEREF _Toc181629331 \h </w:instrText>
      </w:r>
      <w:r>
        <w:fldChar w:fldCharType="separate"/>
      </w:r>
      <w:r>
        <w:t>4</w:t>
      </w:r>
      <w:r>
        <w:fldChar w:fldCharType="end"/>
      </w:r>
    </w:p>
    <w:p w14:paraId="57E42A13">
      <w:pPr>
        <w:pStyle w:val="23"/>
        <w:tabs>
          <w:tab w:val="left" w:pos="432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3.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逻辑视图</w:t>
      </w:r>
      <w:r>
        <w:tab/>
      </w:r>
      <w:r>
        <w:rPr>
          <w:rFonts w:hint="eastAsia"/>
        </w:rPr>
        <w:t>5</w:t>
      </w:r>
    </w:p>
    <w:p w14:paraId="672EFBB5">
      <w:pPr>
        <w:pStyle w:val="23"/>
        <w:tabs>
          <w:tab w:val="left" w:pos="432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4.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部署视图</w:t>
      </w:r>
      <w:r>
        <w:tab/>
      </w:r>
      <w:r>
        <w:rPr>
          <w:rFonts w:hint="eastAsia"/>
        </w:rPr>
        <w:t>6</w:t>
      </w:r>
    </w:p>
    <w:p w14:paraId="107B42AC">
      <w:pPr>
        <w:pStyle w:val="23"/>
        <w:tabs>
          <w:tab w:val="left" w:pos="432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5.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进程视图</w:t>
      </w:r>
      <w:r>
        <w:tab/>
      </w:r>
      <w:r>
        <w:rPr>
          <w:rFonts w:hint="eastAsia"/>
        </w:rPr>
        <w:t>7</w:t>
      </w:r>
    </w:p>
    <w:p w14:paraId="63B973E2">
      <w:pPr>
        <w:pStyle w:val="23"/>
        <w:tabs>
          <w:tab w:val="left" w:pos="432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6.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实现视图</w:t>
      </w:r>
      <w:r>
        <w:tab/>
      </w:r>
      <w:r>
        <w:rPr>
          <w:rFonts w:hint="eastAsia"/>
        </w:rPr>
        <w:t>8</w:t>
      </w:r>
    </w:p>
    <w:p w14:paraId="5C9F962B">
      <w:pPr>
        <w:pStyle w:val="23"/>
        <w:tabs>
          <w:tab w:val="left" w:pos="432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7.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技术视图</w:t>
      </w:r>
      <w:r>
        <w:tab/>
      </w:r>
      <w:r>
        <w:rPr>
          <w:rFonts w:hint="eastAsia"/>
        </w:rPr>
        <w:t>9</w:t>
      </w:r>
    </w:p>
    <w:p w14:paraId="7150CD21">
      <w:pPr>
        <w:pStyle w:val="23"/>
        <w:tabs>
          <w:tab w:val="left" w:pos="432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8.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数据视图</w:t>
      </w:r>
      <w:r>
        <w:tab/>
      </w:r>
      <w:r>
        <w:rPr>
          <w:rFonts w:hint="eastAsia"/>
        </w:rPr>
        <w:t>9</w:t>
      </w:r>
    </w:p>
    <w:p w14:paraId="43DA5F34">
      <w:pPr>
        <w:pStyle w:val="23"/>
        <w:tabs>
          <w:tab w:val="left" w:pos="432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9.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算法视图</w:t>
      </w:r>
      <w:r>
        <w:tab/>
      </w:r>
      <w:r>
        <w:rPr>
          <w:rFonts w:hint="eastAsia"/>
        </w:rPr>
        <w:t>10</w:t>
      </w:r>
    </w:p>
    <w:p w14:paraId="2B831D3E">
      <w:pPr>
        <w:pStyle w:val="23"/>
        <w:tabs>
          <w:tab w:val="left" w:pos="864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10.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性能视图</w:t>
      </w:r>
      <w:r>
        <w:tab/>
      </w:r>
      <w:r>
        <w:rPr>
          <w:rFonts w:hint="eastAsia"/>
        </w:rPr>
        <w:t>10</w:t>
      </w:r>
    </w:p>
    <w:p w14:paraId="600594B6">
      <w:pPr>
        <w:pStyle w:val="23"/>
        <w:tabs>
          <w:tab w:val="left" w:pos="864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11.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可靠性视图</w:t>
      </w:r>
      <w:r>
        <w:tab/>
      </w:r>
      <w:r>
        <w:rPr>
          <w:rFonts w:hint="eastAsia"/>
        </w:rPr>
        <w:t>11</w:t>
      </w:r>
    </w:p>
    <w:p w14:paraId="5126E501">
      <w:pPr>
        <w:pStyle w:val="23"/>
        <w:tabs>
          <w:tab w:val="left" w:pos="864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12.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安全性视图</w:t>
      </w:r>
      <w:r>
        <w:tab/>
      </w:r>
      <w:r>
        <w:rPr>
          <w:rFonts w:hint="eastAsia"/>
        </w:rPr>
        <w:t>11</w:t>
      </w:r>
    </w:p>
    <w:p w14:paraId="5C2C3DDD">
      <w:pPr>
        <w:pStyle w:val="23"/>
        <w:tabs>
          <w:tab w:val="left" w:pos="864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13.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易用性视图</w:t>
      </w:r>
      <w:r>
        <w:tab/>
      </w:r>
      <w:r>
        <w:rPr>
          <w:rFonts w:hint="eastAsia"/>
        </w:rPr>
        <w:t>11</w:t>
      </w:r>
    </w:p>
    <w:p w14:paraId="284E33B5">
      <w:pPr>
        <w:pStyle w:val="23"/>
        <w:tabs>
          <w:tab w:val="left" w:pos="864"/>
        </w:tabs>
        <w:rPr>
          <w:rFonts w:asciiTheme="minorHAnsi" w:hAnsiTheme="minorHAnsi" w:cstheme="minorBidi"/>
          <w:snapToGrid/>
          <w:kern w:val="2"/>
          <w:sz w:val="21"/>
          <w:szCs w:val="22"/>
        </w:rPr>
      </w:pPr>
      <w:r>
        <w:t>14.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可维护性视图</w:t>
      </w:r>
      <w:r>
        <w:tab/>
      </w:r>
      <w:r>
        <w:rPr>
          <w:rFonts w:hint="eastAsia"/>
        </w:rPr>
        <w:t>11</w:t>
      </w:r>
    </w:p>
    <w:p w14:paraId="5B227A39">
      <w:pPr>
        <w:pStyle w:val="31"/>
      </w:pPr>
      <w:r>
        <w:rPr>
          <w:rFonts w:ascii="Times New Roman"/>
        </w:rPr>
        <w:fldChar w:fldCharType="end"/>
      </w:r>
    </w:p>
    <w:p w14:paraId="54B7C3E2"/>
    <w:p w14:paraId="28E29383"/>
    <w:p w14:paraId="1741DD56"/>
    <w:p w14:paraId="54D4F06D"/>
    <w:p w14:paraId="08186AAE"/>
    <w:p w14:paraId="2BC149F6"/>
    <w:p w14:paraId="313F3769">
      <w:pPr>
        <w:pStyle w:val="31"/>
        <w:tabs>
          <w:tab w:val="left" w:pos="5340"/>
        </w:tabs>
        <w:jc w:val="left"/>
      </w:pPr>
      <w:r>
        <w:tab/>
      </w:r>
    </w:p>
    <w:p w14:paraId="613D9733">
      <w:pPr>
        <w:pStyle w:val="31"/>
        <w:rPr>
          <w:rFonts w:ascii="Arial" w:hAnsi="Arial"/>
        </w:rPr>
      </w:pPr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12DE7A7D">
      <w:pPr>
        <w:pStyle w:val="2"/>
        <w:ind w:left="360" w:hanging="360"/>
      </w:pPr>
      <w:bookmarkStart w:id="0" w:name="_Toc181629328"/>
      <w:r>
        <w:rPr>
          <w:rFonts w:hint="eastAsia"/>
        </w:rPr>
        <w:t>简介</w:t>
      </w:r>
      <w:bookmarkEnd w:id="0"/>
    </w:p>
    <w:p w14:paraId="7C0DC3A8">
      <w:pPr>
        <w:pStyle w:val="3"/>
      </w:pPr>
      <w:bookmarkStart w:id="1" w:name="_Toc181629329"/>
      <w:r>
        <w:rPr>
          <w:rFonts w:hint="eastAsia"/>
        </w:rPr>
        <w:t>目的</w:t>
      </w:r>
      <w:bookmarkEnd w:id="1"/>
    </w:p>
    <w:p w14:paraId="3717F15A">
      <w:pPr>
        <w:ind w:left="720"/>
      </w:pPr>
      <w:r>
        <w:rPr>
          <w:rFonts w:hint="eastAsia"/>
        </w:rPr>
        <w:t>本文档从用例、逻辑、部署、进程、实现、技术、数据及质量属性等视角说明 PaperMate 的软件架构，记录关键设计决策，并为开发、联调、测试、部署和后续迭代提供共同基线。目标读者为项目开发成员、评审人员、测试人员和维护人员。</w:t>
      </w:r>
    </w:p>
    <w:p w14:paraId="2C92E423">
      <w:pPr>
        <w:pStyle w:val="3"/>
      </w:pPr>
      <w:bookmarkStart w:id="2" w:name="_Toc181629330"/>
      <w:r>
        <w:rPr>
          <w:rFonts w:hint="eastAsia"/>
        </w:rPr>
        <w:t>参考资料</w:t>
      </w:r>
      <w:bookmarkEnd w:id="2"/>
    </w:p>
    <w:p w14:paraId="1A46CF69">
      <w:pPr>
        <w:pStyle w:val="2"/>
        <w:numPr>
          <w:ilvl w:val="0"/>
          <w:numId w:val="0"/>
        </w:numPr>
        <w:ind w:firstLine="720"/>
        <w:rPr>
          <w:b w:val="0"/>
          <w:sz w:val="20"/>
        </w:rPr>
      </w:pPr>
      <w:r>
        <w:rPr>
          <w:rFonts w:hint="eastAsia"/>
          <w:b w:val="0"/>
          <w:sz w:val="20"/>
        </w:rPr>
        <w:t>《Vision.docx》</w:t>
      </w:r>
    </w:p>
    <w:p w14:paraId="298FA791">
      <w:pPr>
        <w:pStyle w:val="2"/>
        <w:numPr>
          <w:ilvl w:val="0"/>
          <w:numId w:val="0"/>
        </w:numPr>
        <w:ind w:firstLine="720"/>
        <w:rPr>
          <w:b w:val="0"/>
          <w:sz w:val="20"/>
        </w:rPr>
      </w:pPr>
      <w:r>
        <w:rPr>
          <w:rFonts w:hint="eastAsia"/>
          <w:b w:val="0"/>
          <w:sz w:val="20"/>
        </w:rPr>
        <w:t>《迭代计划.docx》与《迭代评估报告.docx》</w:t>
      </w:r>
    </w:p>
    <w:p w14:paraId="071C36E7">
      <w:pPr>
        <w:pStyle w:val="2"/>
        <w:numPr>
          <w:ilvl w:val="0"/>
          <w:numId w:val="0"/>
        </w:numPr>
        <w:ind w:firstLine="720"/>
        <w:rPr>
          <w:b w:val="0"/>
          <w:sz w:val="20"/>
        </w:rPr>
      </w:pPr>
      <w:r>
        <w:rPr>
          <w:rFonts w:hint="eastAsia"/>
          <w:b w:val="0"/>
          <w:sz w:val="20"/>
        </w:rPr>
        <w:t>ADR-001：采用模块化单体与异步任务架构</w:t>
      </w:r>
    </w:p>
    <w:p w14:paraId="6072EB7F">
      <w:pPr>
        <w:pStyle w:val="2"/>
        <w:numPr>
          <w:ilvl w:val="0"/>
          <w:numId w:val="0"/>
        </w:numPr>
        <w:ind w:firstLine="720"/>
        <w:rPr>
          <w:b w:val="0"/>
          <w:sz w:val="20"/>
        </w:rPr>
      </w:pPr>
      <w:r>
        <w:rPr>
          <w:rFonts w:hint="eastAsia"/>
          <w:b w:val="0"/>
          <w:sz w:val="20"/>
        </w:rPr>
        <w:t>ADR-002：采用 React、FastAPI、PostgreSQL、Redis 与 Celery</w:t>
      </w:r>
    </w:p>
    <w:p w14:paraId="33C14E17">
      <w:pPr>
        <w:pStyle w:val="2"/>
        <w:numPr>
          <w:ilvl w:val="0"/>
          <w:numId w:val="0"/>
        </w:numPr>
        <w:ind w:firstLine="720"/>
        <w:rPr>
          <w:b w:val="0"/>
          <w:sz w:val="20"/>
        </w:rPr>
      </w:pPr>
      <w:r>
        <w:rPr>
          <w:rFonts w:hint="eastAsia"/>
          <w:b w:val="0"/>
          <w:sz w:val="20"/>
        </w:rPr>
        <w:t>ADR-003：任务处理与恢复策略</w:t>
      </w:r>
    </w:p>
    <w:p w14:paraId="19DD91DD">
      <w:pPr>
        <w:pStyle w:val="2"/>
        <w:numPr>
          <w:ilvl w:val="0"/>
          <w:numId w:val="0"/>
        </w:numPr>
        <w:ind w:firstLine="720"/>
        <w:rPr>
          <w:b w:val="0"/>
          <w:sz w:val="20"/>
        </w:rPr>
      </w:pPr>
      <w:r>
        <w:rPr>
          <w:rFonts w:hint="eastAsia"/>
          <w:b w:val="0"/>
          <w:sz w:val="20"/>
        </w:rPr>
        <w:t>docs/2026-07-16-backend-architecture.md</w:t>
      </w:r>
    </w:p>
    <w:p w14:paraId="64318607">
      <w:pPr>
        <w:pStyle w:val="2"/>
        <w:numPr>
          <w:ilvl w:val="0"/>
          <w:numId w:val="0"/>
        </w:numPr>
        <w:ind w:firstLine="720"/>
        <w:rPr>
          <w:b w:val="0"/>
          <w:sz w:val="20"/>
        </w:rPr>
      </w:pPr>
      <w:r>
        <w:rPr>
          <w:rFonts w:hint="eastAsia"/>
          <w:b w:val="0"/>
          <w:sz w:val="20"/>
        </w:rPr>
        <w:t>PaperPipeline、UIPrototype、TechPrototype 当前源码及 README</w:t>
      </w:r>
    </w:p>
    <w:p w14:paraId="5AEFA3F7"/>
    <w:p w14:paraId="36722A60"/>
    <w:p w14:paraId="54D07113"/>
    <w:p w14:paraId="5B8EDBB0">
      <w:pPr>
        <w:pStyle w:val="2"/>
        <w:ind w:left="360" w:hanging="360"/>
      </w:pPr>
      <w:bookmarkStart w:id="3" w:name="_Toc181629331"/>
      <w:r>
        <w:rPr>
          <w:rFonts w:hint="eastAsia"/>
        </w:rPr>
        <w:t>用例视图</w:t>
      </w:r>
      <w:bookmarkEnd w:id="3"/>
    </w:p>
    <w:p w14:paraId="54181205">
      <w:pPr>
        <w:ind w:left="720"/>
        <w:rPr>
          <w:rFonts w:hint="eastAsia"/>
        </w:rPr>
      </w:pPr>
      <w:r>
        <w:rPr>
          <w:rFonts w:hint="eastAsia"/>
          <w:lang w:val="en-US" w:eastAsia="zh-CN"/>
        </w:rPr>
        <w:t>下述</w:t>
      </w:r>
      <w:r>
        <w:rPr>
          <w:rFonts w:hint="eastAsia"/>
        </w:rPr>
        <w:t>用例视图描述了 PaperMate 系统各类参与者与主要功能之间的交互关系。系统用户包括论文阅读用户、研究型用户、主题追踪用户和管理员/演示者。论文阅读用户可完成注册登录、论文检索、列表与详情查看、阅读模式切换、收藏与笔记管理、阅读历史查询及个人账户配置；研究型用户可进一步使用智能问答、论文对比、关联论文图谱和知识演化路径等研究辅助功能；主题追踪用户主要管理订阅关键词和学科分类，并查看系统生成的推荐内容；管理员/演示者则负责用户管理、任务进度监控、多 Agent 流水线查看、异常论文修正和运行日志审计。</w:t>
      </w:r>
    </w:p>
    <w:p w14:paraId="43D09B89">
      <w:pPr>
        <w:ind w:left="720"/>
        <w:rPr>
          <w:rFonts w:hint="eastAsia"/>
        </w:rPr>
      </w:pPr>
    </w:p>
    <w:p w14:paraId="60A067FC">
      <w:pPr>
        <w:ind w:left="720"/>
        <w:rPr>
          <w:rFonts w:hint="eastAsia"/>
        </w:rPr>
      </w:pPr>
      <w:r>
        <w:rPr>
          <w:rFonts w:hint="eastAsia"/>
        </w:rPr>
        <w:t>系统还与 arXiv API 和论文解析服务等外部参与者协作，完成论文检索、抓取和内容解析。各用例之间通过包含和扩展关系复用公共流程，例如论文详情可进一步提供正文、结构化内容、AI 总结和智能问答，论文检索在需要时可触发外部检索与论文抓取，从而形成从论文获取、解析到阅读和研究辅助的完整业务闭环。</w:t>
      </w:r>
    </w:p>
    <w:p w14:paraId="5D3EE9A3"/>
    <w:p w14:paraId="128EDD76">
      <w:r>
        <w:drawing>
          <wp:inline distT="0" distB="0" distL="0" distR="0">
            <wp:extent cx="5274310" cy="6889750"/>
            <wp:effectExtent l="0" t="0" r="0" b="6350"/>
            <wp:docPr id="843978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7869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2A846"/>
    <w:p w14:paraId="658E45F1"/>
    <w:p w14:paraId="1E1E1774"/>
    <w:p w14:paraId="03767C02"/>
    <w:p w14:paraId="72B14A3D">
      <w:pPr>
        <w:pStyle w:val="2"/>
        <w:ind w:left="360" w:hanging="360"/>
      </w:pPr>
      <w:bookmarkStart w:id="4" w:name="_Toc181629332"/>
      <w:r>
        <w:rPr>
          <w:rFonts w:hint="eastAsia"/>
        </w:rPr>
        <w:t>逻辑视图</w:t>
      </w:r>
      <w:bookmarkEnd w:id="4"/>
    </w:p>
    <w:p w14:paraId="1679FB80"/>
    <w:p w14:paraId="60B2225C">
      <w:pPr>
        <w:ind w:firstLine="720"/>
      </w:pPr>
      <w:r>
        <w:rPr>
          <w:rFonts w:hint="eastAsia"/>
        </w:rPr>
        <w:t>前端采用React组件化架构，按职责划分为页面、路由、组件、服务、状态管理5个子系统，将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React函数组件作为类级别的核心构建单元，所有模块封装对应的状态、行为与渲染逻辑，适配论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文工具全场景交互需求。</w:t>
      </w:r>
    </w:p>
    <w:p w14:paraId="2CDCFA7D">
      <w:pPr>
        <w:ind w:firstLine="720"/>
      </w:pPr>
    </w:p>
    <w:p w14:paraId="348269CC">
      <w:pPr>
        <w:ind w:firstLine="720"/>
      </w:pPr>
      <w:r>
        <w:rPr>
          <w:rFonts w:hint="eastAsia"/>
        </w:rPr>
        <w:t>后端采用分层解耦架构，从上到下依次为API网关层、业务服务层、AI Agent层、数据访问层、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数据模型层，配套核心基础设施层提供配置、数据库连接、认证能力，所有对外接口统一返回标准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化ApiResponse格式，实现大模型能力与业务逻辑的高效隔离。</w:t>
      </w:r>
    </w:p>
    <w:p w14:paraId="0A218F87">
      <w:pPr>
        <w:ind w:firstLine="720"/>
      </w:pPr>
    </w:p>
    <w:p w14:paraId="448BEE68">
      <w:pPr>
        <w:ind w:firstLine="720"/>
      </w:pPr>
      <w:r>
        <w:rPr>
          <w:rFonts w:hint="eastAsia"/>
        </w:rPr>
        <w:t>PaperPipeline是系统数据处理核心，采用流水线模式设计，按爬取、解析、摘要生成、内容校验、</w:t>
      </w:r>
      <w:r>
        <w:rPr>
          <w:rFonts w:hint="eastAsia"/>
        </w:rPr>
        <w:tab/>
      </w:r>
      <w:r>
        <w:rPr>
          <w:rFonts w:hint="eastAsia"/>
        </w:rPr>
        <w:t>任务处理、外部集成的顺序串联全链路，负责完成ArXiv论文从元数据抓取到文本分块、结构化解</w:t>
      </w:r>
      <w:r>
        <w:rPr>
          <w:rFonts w:hint="eastAsia"/>
        </w:rPr>
        <w:tab/>
      </w:r>
      <w:r>
        <w:rPr>
          <w:rFonts w:hint="eastAsia"/>
        </w:rPr>
        <w:t>析的全生命周期离线数据处理，最终通过集成层与后端系统完成数据互通。</w:t>
      </w:r>
    </w:p>
    <w:p w14:paraId="4745E6BE">
      <w:pPr>
        <w:ind w:firstLine="720"/>
      </w:pPr>
    </w:p>
    <w:p w14:paraId="5FB1F47E">
      <w:pPr>
        <w:ind w:firstLine="720"/>
        <w:jc w:val="center"/>
        <w:rPr>
          <w:rFonts w:hint="eastAsia" w:hAnsi="宋体" w:cs="宋体"/>
          <w:sz w:val="24"/>
          <w:szCs w:val="24"/>
        </w:rPr>
      </w:pPr>
      <w:r>
        <w:drawing>
          <wp:inline distT="0" distB="0" distL="114300" distR="114300">
            <wp:extent cx="3393440" cy="5721985"/>
            <wp:effectExtent l="0" t="0" r="1651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6E13">
      <w:pPr>
        <w:pStyle w:val="2"/>
        <w:ind w:left="360" w:hanging="360"/>
      </w:pPr>
      <w:bookmarkStart w:id="5" w:name="_Toc181629333"/>
      <w:r>
        <w:rPr>
          <w:rFonts w:hint="eastAsia"/>
        </w:rPr>
        <w:t>部署视图</w:t>
      </w:r>
      <w:bookmarkEnd w:id="5"/>
    </w:p>
    <w:p w14:paraId="3D74A2BF">
      <w:pPr>
        <w:pStyle w:val="15"/>
      </w:pPr>
      <w:r>
        <w:drawing>
          <wp:inline distT="0" distB="0" distL="114300" distR="114300">
            <wp:extent cx="5271770" cy="3420745"/>
            <wp:effectExtent l="0" t="0" r="127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5D0B">
      <w:pPr>
        <w:pStyle w:val="4"/>
        <w:widowControl/>
        <w:rPr>
          <w:i w:val="0"/>
          <w:iCs/>
        </w:rPr>
      </w:pPr>
      <w:r>
        <w:rPr>
          <w:rFonts w:hint="eastAsia"/>
          <w:i w:val="0"/>
          <w:iCs/>
        </w:rPr>
        <w:t>4</w:t>
      </w:r>
      <w:r>
        <w:rPr>
          <w:i w:val="0"/>
          <w:iCs/>
        </w:rPr>
        <w:t>.1 用户终端</w:t>
      </w:r>
    </w:p>
    <w:p w14:paraId="5CC238CD">
      <w:pPr>
        <w:pStyle w:val="30"/>
        <w:widowControl/>
        <w:ind w:firstLine="720"/>
        <w:rPr>
          <w:sz w:val="20"/>
        </w:rPr>
      </w:pPr>
      <w:r>
        <w:rPr>
          <w:sz w:val="20"/>
        </w:rPr>
        <w:t>用户通过个人电脑、平板电脑或手机等终端设备访问PaperMate系统。用户终端安装有Web浏览器，</w:t>
      </w:r>
      <w:r>
        <w:rPr>
          <w:rFonts w:hint="eastAsia"/>
          <w:sz w:val="20"/>
        </w:rPr>
        <w:tab/>
      </w:r>
      <w:r>
        <w:rPr>
          <w:sz w:val="20"/>
        </w:rPr>
        <w:t>并通过Internet或校园局域网，使用HTTPS协议连接PaperMate应用服务器。React前端应用运</w:t>
      </w:r>
      <w:r>
        <w:rPr>
          <w:rFonts w:hint="eastAsia"/>
          <w:sz w:val="20"/>
        </w:rPr>
        <w:tab/>
      </w:r>
      <w:r>
        <w:rPr>
          <w:sz w:val="20"/>
        </w:rPr>
        <w:t>行在用户浏览器中，为用户提供注册登录、论文检索、论文阅读、结构化摘要查看、单论文问答、</w:t>
      </w:r>
      <w:r>
        <w:rPr>
          <w:rFonts w:hint="eastAsia"/>
          <w:sz w:val="20"/>
        </w:rPr>
        <w:tab/>
      </w:r>
      <w:r>
        <w:rPr>
          <w:sz w:val="20"/>
        </w:rPr>
        <w:t>论文对比、收藏、笔记和订阅管理等功能。用户终端不能直接访问数据库服务器和arXiv外部服务</w:t>
      </w:r>
      <w:r>
        <w:rPr>
          <w:rFonts w:hint="eastAsia"/>
          <w:sz w:val="20"/>
        </w:rPr>
        <w:tab/>
      </w:r>
      <w:r>
        <w:rPr>
          <w:sz w:val="20"/>
        </w:rPr>
        <w:t>器，所有业务请求均由PaperMate应用服务器统一处理。</w:t>
      </w:r>
    </w:p>
    <w:p w14:paraId="2209E718">
      <w:pPr>
        <w:pStyle w:val="4"/>
        <w:widowControl/>
        <w:rPr>
          <w:i w:val="0"/>
        </w:rPr>
      </w:pPr>
      <w:r>
        <w:rPr>
          <w:rFonts w:hint="eastAsia"/>
          <w:i w:val="0"/>
        </w:rPr>
        <w:t>4</w:t>
      </w:r>
      <w:r>
        <w:rPr>
          <w:i w:val="0"/>
        </w:rPr>
        <w:t>.2 PaperMate应用服务器</w:t>
      </w:r>
    </w:p>
    <w:p w14:paraId="70F3364B">
      <w:pPr>
        <w:pStyle w:val="30"/>
        <w:widowControl/>
        <w:ind w:firstLine="720"/>
        <w:rPr>
          <w:sz w:val="20"/>
        </w:rPr>
      </w:pPr>
      <w:r>
        <w:rPr>
          <w:sz w:val="20"/>
        </w:rPr>
        <w:t>PaperMate应用服务器是系统的核心运行节点，部署了React前端静态资源、FastAPI后端应用、</w:t>
      </w:r>
      <w:r>
        <w:rPr>
          <w:rFonts w:hint="eastAsia"/>
          <w:sz w:val="20"/>
        </w:rPr>
        <w:tab/>
      </w:r>
      <w:r>
        <w:rPr>
          <w:sz w:val="20"/>
        </w:rPr>
        <w:t>Pipeline Worker、任务调度模块和PDF文件存储模块。应用服务器通过HTTPS接收用户终端发送</w:t>
      </w:r>
      <w:r>
        <w:rPr>
          <w:rFonts w:hint="eastAsia"/>
          <w:sz w:val="20"/>
        </w:rPr>
        <w:tab/>
      </w:r>
      <w:r>
        <w:rPr>
          <w:sz w:val="20"/>
        </w:rPr>
        <w:t>的请求，并负责完成用户身份认证、论文检索、论文详情查询、结构化内容展示、单论文问答、笔</w:t>
      </w:r>
      <w:r>
        <w:rPr>
          <w:rFonts w:hint="eastAsia"/>
          <w:sz w:val="20"/>
        </w:rPr>
        <w:tab/>
      </w:r>
      <w:r>
        <w:rPr>
          <w:sz w:val="20"/>
        </w:rPr>
        <w:t>记管理和任务状态查询等业务。</w:t>
      </w:r>
    </w:p>
    <w:p w14:paraId="3D76CC63">
      <w:pPr>
        <w:pStyle w:val="30"/>
        <w:widowControl/>
        <w:ind w:firstLine="720"/>
        <w:rPr>
          <w:sz w:val="20"/>
        </w:rPr>
      </w:pPr>
      <w:r>
        <w:rPr>
          <w:sz w:val="20"/>
        </w:rPr>
        <w:t>Pipeline Worker负责从arXiv抓取论文元数据和PDF原文，并依次完成数据清洗、论文去重、</w:t>
      </w:r>
      <w:r>
        <w:rPr>
          <w:rFonts w:hint="eastAsia"/>
          <w:sz w:val="20"/>
        </w:rPr>
        <w:tab/>
      </w:r>
      <w:r>
        <w:rPr>
          <w:sz w:val="20"/>
        </w:rPr>
        <w:t>PDF解析、结构化摘要生成和原文证据检索。下载得到的PDF文件以及解析过程中生成的中间文件</w:t>
      </w:r>
      <w:r>
        <w:rPr>
          <w:rFonts w:hint="eastAsia"/>
          <w:sz w:val="20"/>
        </w:rPr>
        <w:tab/>
      </w:r>
      <w:r>
        <w:rPr>
          <w:sz w:val="20"/>
        </w:rPr>
        <w:t>统一保存在应用服务器内部的PDFFileStorage中。应用服务器通过SQL/TCP协议访问数据库服务</w:t>
      </w:r>
      <w:r>
        <w:rPr>
          <w:rFonts w:hint="eastAsia"/>
          <w:sz w:val="20"/>
        </w:rPr>
        <w:tab/>
      </w:r>
      <w:r>
        <w:rPr>
          <w:sz w:val="20"/>
        </w:rPr>
        <w:t>器，并通过HTTPS和arXiv Atom API访问arXiv外部服务器。</w:t>
      </w:r>
    </w:p>
    <w:p w14:paraId="118BD699">
      <w:pPr>
        <w:pStyle w:val="4"/>
        <w:widowControl/>
        <w:rPr>
          <w:i w:val="0"/>
          <w:iCs/>
        </w:rPr>
      </w:pPr>
      <w:r>
        <w:rPr>
          <w:rFonts w:hint="eastAsia"/>
          <w:i w:val="0"/>
          <w:iCs/>
        </w:rPr>
        <w:t>4</w:t>
      </w:r>
      <w:r>
        <w:rPr>
          <w:i w:val="0"/>
          <w:iCs/>
        </w:rPr>
        <w:t>.3 数据库服务器</w:t>
      </w:r>
    </w:p>
    <w:p w14:paraId="3CB45CE3">
      <w:pPr>
        <w:pStyle w:val="30"/>
        <w:widowControl/>
        <w:ind w:firstLine="720"/>
        <w:rPr>
          <w:sz w:val="20"/>
        </w:rPr>
      </w:pPr>
      <w:r>
        <w:rPr>
          <w:sz w:val="20"/>
        </w:rPr>
        <w:t>数据库服务器负责持久化存储PaperMate系统中的用户信息、论文元数据、作者信息、Pipeline</w:t>
      </w:r>
      <w:r>
        <w:rPr>
          <w:rFonts w:hint="eastAsia"/>
          <w:sz w:val="20"/>
        </w:rPr>
        <w:tab/>
      </w:r>
      <w:r>
        <w:rPr>
          <w:sz w:val="20"/>
        </w:rPr>
        <w:t>处理任务、结构化解析结果、论文文本分块、用户收藏、阅读历史和笔记等数据。数据库服务器不</w:t>
      </w:r>
      <w:r>
        <w:rPr>
          <w:rFonts w:hint="eastAsia"/>
          <w:sz w:val="20"/>
        </w:rPr>
        <w:tab/>
      </w:r>
      <w:r>
        <w:rPr>
          <w:sz w:val="20"/>
        </w:rPr>
        <w:t>直接保存论文PDF文件，PDF文件由PaperMate应用服务器内部的PDFFileStorage统一保存。</w:t>
      </w:r>
    </w:p>
    <w:p w14:paraId="6E5C37DE">
      <w:pPr>
        <w:pStyle w:val="30"/>
        <w:widowControl/>
        <w:ind w:firstLine="720"/>
        <w:rPr>
          <w:sz w:val="20"/>
        </w:rPr>
      </w:pPr>
      <w:r>
        <w:rPr>
          <w:sz w:val="20"/>
        </w:rPr>
        <w:t>数据库服务器只允许PaperMate应用服务器访问，用户终端不能直接连接数据库。PaperMate应用</w:t>
      </w:r>
      <w:r>
        <w:rPr>
          <w:rFonts w:hint="eastAsia"/>
          <w:sz w:val="20"/>
        </w:rPr>
        <w:tab/>
      </w:r>
      <w:r>
        <w:rPr>
          <w:sz w:val="20"/>
        </w:rPr>
        <w:t>服务器通过SQL/TCP协议完成数据的查询、添加、修改和删除操作，从而保证数据访问的统一性和</w:t>
      </w:r>
      <w:r>
        <w:rPr>
          <w:rFonts w:hint="eastAsia"/>
          <w:sz w:val="20"/>
        </w:rPr>
        <w:tab/>
      </w:r>
      <w:r>
        <w:rPr>
          <w:sz w:val="20"/>
        </w:rPr>
        <w:t>安全性。</w:t>
      </w:r>
    </w:p>
    <w:p w14:paraId="62D843D2">
      <w:pPr>
        <w:pStyle w:val="4"/>
        <w:widowControl/>
        <w:rPr>
          <w:i w:val="0"/>
          <w:iCs/>
        </w:rPr>
      </w:pPr>
      <w:r>
        <w:rPr>
          <w:rFonts w:hint="eastAsia"/>
          <w:i w:val="0"/>
          <w:iCs/>
        </w:rPr>
        <w:t>4</w:t>
      </w:r>
      <w:r>
        <w:rPr>
          <w:i w:val="0"/>
          <w:iCs/>
        </w:rPr>
        <w:t>.4 外部服务</w:t>
      </w:r>
    </w:p>
    <w:p w14:paraId="1DAEB904">
      <w:pPr>
        <w:pStyle w:val="30"/>
        <w:widowControl/>
        <w:ind w:firstLine="720"/>
        <w:rPr>
          <w:sz w:val="20"/>
        </w:rPr>
      </w:pPr>
      <w:r>
        <w:rPr>
          <w:sz w:val="20"/>
        </w:rPr>
        <w:t>PaperMate系统使用的外部服务主要包括arXiv论文服务和大模型服务。两个外部服务分别由</w:t>
      </w:r>
      <w:r>
        <w:rPr>
          <w:rFonts w:hint="eastAsia"/>
          <w:sz w:val="20"/>
        </w:rPr>
        <w:tab/>
      </w:r>
      <w:r>
        <w:rPr>
          <w:sz w:val="20"/>
        </w:rPr>
        <w:t>PaperMate应用服务器通过Internet和HTTPS协议调用，二者之间不存在直接通信关系。</w:t>
      </w:r>
    </w:p>
    <w:p w14:paraId="52FC8D3E">
      <w:pPr>
        <w:pStyle w:val="30"/>
        <w:widowControl/>
        <w:ind w:firstLine="720"/>
        <w:rPr>
          <w:sz w:val="20"/>
        </w:rPr>
      </w:pPr>
      <w:r>
        <w:rPr>
          <w:sz w:val="20"/>
        </w:rPr>
        <w:t>arXiv外部服务器是PaperMate的论文数据来源。PaperPipeline通过HTTPS调用arXiv Atom API，</w:t>
      </w:r>
      <w:r>
        <w:rPr>
          <w:rFonts w:hint="eastAsia"/>
          <w:sz w:val="20"/>
        </w:rPr>
        <w:tab/>
      </w:r>
      <w:r>
        <w:rPr>
          <w:sz w:val="20"/>
        </w:rPr>
        <w:t>根据研究主题、学科分类或关键词获取论文标题、作者、摘要、类别、发布时间和原文链接等元数</w:t>
      </w:r>
      <w:r>
        <w:rPr>
          <w:rFonts w:hint="eastAsia"/>
          <w:sz w:val="20"/>
        </w:rPr>
        <w:tab/>
      </w:r>
      <w:r>
        <w:rPr>
          <w:sz w:val="20"/>
        </w:rPr>
        <w:t>据，并从arXiv PDF Repository下载论文PDF原文。获取到的论文经过清洗和去重后，元数据及</w:t>
      </w:r>
      <w:r>
        <w:rPr>
          <w:rFonts w:hint="eastAsia"/>
          <w:sz w:val="20"/>
        </w:rPr>
        <w:tab/>
      </w:r>
      <w:r>
        <w:rPr>
          <w:sz w:val="20"/>
        </w:rPr>
        <w:t>结构化结果被保存到数据库服务器，PDF原文被保存到PaperMate应用服务器内部的</w:t>
      </w:r>
      <w:r>
        <w:rPr>
          <w:rFonts w:hint="eastAsia"/>
          <w:sz w:val="20"/>
        </w:rPr>
        <w:tab/>
      </w:r>
      <w:r>
        <w:rPr>
          <w:sz w:val="20"/>
        </w:rPr>
        <w:t>PDFFileStorage中。</w:t>
      </w:r>
    </w:p>
    <w:p w14:paraId="3DC3659B">
      <w:pPr>
        <w:pStyle w:val="30"/>
        <w:widowControl/>
        <w:ind w:firstLine="720"/>
        <w:rPr>
          <w:sz w:val="20"/>
        </w:rPr>
      </w:pPr>
      <w:r>
        <w:rPr>
          <w:sz w:val="20"/>
        </w:rPr>
        <w:t>大模型外部服务为PaperMate提供自然语言处理和内容生成能力。PaperMate应用服务器通过</w:t>
      </w:r>
      <w:r>
        <w:rPr>
          <w:rFonts w:hint="eastAsia"/>
          <w:sz w:val="20"/>
        </w:rPr>
        <w:tab/>
      </w:r>
      <w:r>
        <w:rPr>
          <w:sz w:val="20"/>
        </w:rPr>
        <w:t>HTTPS和REST API调用DeepSeek API，将经过PDF解析和原文检索得到的论文内容、用户问题及</w:t>
      </w:r>
      <w:r>
        <w:rPr>
          <w:rFonts w:hint="eastAsia"/>
          <w:sz w:val="20"/>
        </w:rPr>
        <w:tab/>
      </w:r>
      <w:r>
        <w:rPr>
          <w:sz w:val="20"/>
        </w:rPr>
        <w:t>相关证据片段发送给大模型。大模型负责辅助生成论文摘要、核心概念、研究方法和问答结果。</w:t>
      </w:r>
      <w:r>
        <w:rPr>
          <w:rFonts w:hint="eastAsia"/>
          <w:sz w:val="20"/>
        </w:rPr>
        <w:tab/>
      </w:r>
      <w:r>
        <w:rPr>
          <w:sz w:val="20"/>
        </w:rPr>
        <w:t>PaperMate在接收到模型返回内容后，对引用来源和结果格式进行校验，并将有效结果保存到数据</w:t>
      </w:r>
      <w:r>
        <w:rPr>
          <w:rFonts w:hint="eastAsia"/>
          <w:sz w:val="20"/>
        </w:rPr>
        <w:tab/>
      </w:r>
      <w:r>
        <w:rPr>
          <w:sz w:val="20"/>
        </w:rPr>
        <w:t>库中。</w:t>
      </w:r>
    </w:p>
    <w:p w14:paraId="66602CB8">
      <w:pPr>
        <w:pStyle w:val="30"/>
        <w:widowControl/>
        <w:ind w:firstLine="720"/>
      </w:pPr>
      <w:r>
        <w:rPr>
          <w:sz w:val="20"/>
        </w:rPr>
        <w:t>用户终端不能直接访问arXiv服务或DeepSeek API，所有外部服务调用均由PaperMate应用服务</w:t>
      </w:r>
      <w:r>
        <w:rPr>
          <w:rFonts w:hint="eastAsia"/>
          <w:sz w:val="20"/>
        </w:rPr>
        <w:tab/>
      </w:r>
      <w:r>
        <w:rPr>
          <w:sz w:val="20"/>
        </w:rPr>
        <w:t>器统一完成。DeepSeek API密钥保存在后端服务器的环境变量中，不会传递或暴露给前端用户。</w:t>
      </w:r>
    </w:p>
    <w:p w14:paraId="12A07D5E">
      <w:pPr>
        <w:pStyle w:val="2"/>
        <w:ind w:left="360" w:hanging="360"/>
      </w:pPr>
      <w:bookmarkStart w:id="6" w:name="_Toc181629334"/>
      <w:r>
        <w:rPr>
          <w:rFonts w:hint="eastAsia"/>
        </w:rPr>
        <w:t>进程视图</w:t>
      </w:r>
      <w:bookmarkEnd w:id="6"/>
    </w:p>
    <w:p w14:paraId="31F62F8E">
      <w:pPr>
        <w:pStyle w:val="15"/>
        <w:rPr>
          <w:rFonts w:ascii="宋体" w:hAnsi="Times New Roman" w:eastAsia="宋体" w:cs="Times New Roman"/>
          <w:snapToGrid w:val="0"/>
          <w:sz w:val="20"/>
          <w:lang w:val="en-US" w:eastAsia="zh-CN" w:bidi="ar-SA"/>
        </w:rPr>
      </w:pPr>
      <w:r>
        <w:rPr>
          <w:rFonts w:ascii="宋体" w:hAnsi="Times New Roman" w:eastAsia="宋体" w:cs="Times New Roman"/>
          <w:snapToGrid w:val="0"/>
          <w:sz w:val="20"/>
          <w:lang w:val="en-US" w:eastAsia="zh-CN" w:bidi="ar-SA"/>
        </w:rPr>
        <w:t>当前主业务采用“单 FastAPI 工作进程 + 进程内后台任务”，独立进程设计较少，不足以支撑单独一</w:t>
      </w:r>
      <w:r>
        <w:rPr>
          <w:rFonts w:hint="eastAsia" w:cs="Times New Roman"/>
          <w:snapToGrid w:val="0"/>
          <w:sz w:val="20"/>
          <w:lang w:val="en-US" w:eastAsia="zh-CN" w:bidi="ar-SA"/>
        </w:rPr>
        <w:t>节</w:t>
      </w:r>
      <w:r>
        <w:rPr>
          <w:rFonts w:ascii="宋体" w:hAnsi="Times New Roman" w:eastAsia="宋体" w:cs="Times New Roman"/>
          <w:snapToGrid w:val="0"/>
          <w:sz w:val="20"/>
          <w:lang w:val="en-US" w:eastAsia="zh-CN" w:bidi="ar-SA"/>
        </w:rPr>
        <w:t>；相关运行时说明可合并到部署视图。</w:t>
      </w:r>
    </w:p>
    <w:p w14:paraId="4C8B1B19">
      <w:pPr>
        <w:pStyle w:val="2"/>
        <w:ind w:left="360" w:hanging="360"/>
      </w:pPr>
      <w:bookmarkStart w:id="7" w:name="_Toc181629335"/>
      <w:r>
        <w:rPr>
          <w:rFonts w:hint="eastAsia"/>
        </w:rPr>
        <w:t>实现视图</w:t>
      </w:r>
      <w:bookmarkEnd w:id="7"/>
    </w:p>
    <w:p w14:paraId="75A4B503">
      <w:r>
        <w:drawing>
          <wp:inline distT="0" distB="0" distL="114300" distR="114300">
            <wp:extent cx="5942330" cy="3640455"/>
            <wp:effectExtent l="0" t="0" r="1270" b="171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27998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本实现视图采用 UML 构件图描述 PaperMate 系统在开发与交付阶段的物理组成，以及各可部署构件之间的接口依赖关系。系统内部主要包括 PaperMate Web UI、Nginx Web Gateway、PaperMate Backend API、PostgreSQL Database 和可选的 PaperPipeline Worker。外部环境包括 arXiv Service 与 DeepSeek LLM Service。各构件均代表可以独立构建、部署或替换的粗粒度软件模块，而没有进一步展开源代码中的类、页面组件或业务服务。</w:t>
      </w:r>
    </w:p>
    <w:p w14:paraId="72EC9F94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PaperMate Web UI 是由 React 和 Vite 构建的前端静态资源包，通过 IStaticAssets 接口向 Nginx 提供 HTML、JavaScript、CSS 等资源，并通过 IPublicApiProxy 接口请求系统业务功能。Nginx Web Gateway 是系统的统一 Web 访问入口，通过 IWebAccess 接口为浏览器提供 HTTP/HTTPS 服务，并将 /api/* 请求从 frontendApiPort 转发至 upstreamPort。PaperMate Backend API 通过 IBackendREST 接口提供认证、论文检索、论文解析、智能问答、推荐、订阅和管理等功能。Nginx 的 upstreamPort 请求该接口，Backend 的 httpPort 则负责提供该接口。</w:t>
      </w:r>
    </w:p>
    <w:p w14:paraId="4C1CB5E1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PaperMate Backend API 通过 IDataStore 接口访问 PostgreSQL Database，持久化用户、论文、解析任务、文本块和结构化分析结果。后端还通过 IArxivContent 接口访问 arXiv Service，以获取论文元数据、HTML 和 PDF 原文；通过 ILLMChatCompletions 接口访问 DeepSeek LLM Service，以完成论文总结、问答、智能检索、阅读辅助和知识图谱生成。PaperPipeline Worker 是可选的独立处理构件，通过 IWorkerTaskAPI 从 Backend 领取任务、更新处理状态并提交结果，同时也可请求 arXiv 和大语言模型服务。当前系统的普通页面解析路径由 Backend 进程内任务完成，Worker 主要用于批量解析和失败任务补偿。</w:t>
      </w:r>
    </w:p>
    <w:p w14:paraId="465D4F40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构件之间的协作通过端口和接口显式表达：端口定义构件与外部环境的交互位置，提供接口表示构件对外实现的服务契约，请求接口表示构件正常运行所依赖的外部能力。这种设计使前端、网关、后端、数据库和论文处理模块之间保持清晰边界，并支持在不改变接口契约的情况下独立替换、部署或扩展相关构件。</w:t>
      </w:r>
    </w:p>
    <w:p w14:paraId="2004F6C5"/>
    <w:p w14:paraId="0F9B76FC">
      <w:pPr>
        <w:pStyle w:val="2"/>
        <w:ind w:left="360" w:hanging="360"/>
      </w:pPr>
      <w:bookmarkStart w:id="8" w:name="_Toc181629336"/>
      <w:bookmarkStart w:id="9" w:name="_Toc54212214"/>
      <w:r>
        <w:rPr>
          <w:rFonts w:hint="eastAsia"/>
        </w:rPr>
        <w:t>技</w:t>
      </w:r>
      <w:r>
        <w:t>术</w:t>
      </w:r>
      <w:r>
        <w:rPr>
          <w:rFonts w:hint="eastAsia"/>
        </w:rPr>
        <w:t>视图</w:t>
      </w:r>
      <w:bookmarkEnd w:id="8"/>
      <w:bookmarkEnd w:id="9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2727"/>
        <w:gridCol w:w="5268"/>
      </w:tblGrid>
      <w:tr w14:paraId="2CCD3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306069">
            <w:pPr>
              <w:spacing w:line="240" w:lineRule="auto"/>
            </w:pPr>
            <w:r>
              <w:rPr>
                <w:rFonts w:hAnsi="宋体"/>
                <w:b/>
                <w:sz w:val="18"/>
              </w:rPr>
              <w:t>类别</w:t>
            </w:r>
          </w:p>
        </w:tc>
        <w:tc>
          <w:tcPr>
            <w:tcW w:w="2835" w:type="dxa"/>
            <w:vAlign w:val="center"/>
          </w:tcPr>
          <w:p w14:paraId="0CEF8533">
            <w:pPr>
              <w:spacing w:line="240" w:lineRule="auto"/>
            </w:pPr>
            <w:r>
              <w:rPr>
                <w:rFonts w:hAnsi="宋体"/>
                <w:b/>
                <w:sz w:val="18"/>
              </w:rPr>
              <w:t>选型</w:t>
            </w:r>
          </w:p>
        </w:tc>
        <w:tc>
          <w:tcPr>
            <w:tcW w:w="5669" w:type="dxa"/>
            <w:vAlign w:val="center"/>
          </w:tcPr>
          <w:p w14:paraId="5BD59BF7">
            <w:pPr>
              <w:spacing w:line="240" w:lineRule="auto"/>
            </w:pPr>
            <w:r>
              <w:rPr>
                <w:rFonts w:hAnsi="宋体"/>
                <w:b/>
                <w:sz w:val="18"/>
              </w:rPr>
              <w:t>说明</w:t>
            </w:r>
          </w:p>
        </w:tc>
      </w:tr>
      <w:tr w14:paraId="3472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3F02AF">
            <w:pPr>
              <w:spacing w:line="240" w:lineRule="auto"/>
            </w:pPr>
            <w:r>
              <w:rPr>
                <w:rFonts w:hAnsi="宋体"/>
                <w:sz w:val="18"/>
              </w:rPr>
              <w:t>前端</w:t>
            </w:r>
          </w:p>
        </w:tc>
        <w:tc>
          <w:tcPr>
            <w:tcW w:w="2835" w:type="dxa"/>
            <w:vAlign w:val="center"/>
          </w:tcPr>
          <w:p w14:paraId="2756CD57">
            <w:pPr>
              <w:spacing w:line="240" w:lineRule="auto"/>
            </w:pPr>
            <w:r>
              <w:rPr>
                <w:rFonts w:hAnsi="宋体"/>
                <w:sz w:val="18"/>
              </w:rPr>
              <w:t>React 19、Vite、React Router、Ant Design</w:t>
            </w:r>
          </w:p>
        </w:tc>
        <w:tc>
          <w:tcPr>
            <w:tcW w:w="5669" w:type="dxa"/>
            <w:vAlign w:val="center"/>
          </w:tcPr>
          <w:p w14:paraId="48104D4F">
            <w:pPr>
              <w:spacing w:line="240" w:lineRule="auto"/>
            </w:pPr>
            <w:r>
              <w:rPr>
                <w:rFonts w:hAnsi="宋体"/>
                <w:sz w:val="18"/>
              </w:rPr>
              <w:t>组件化 SPA；支持开发代理和 Mock 降级演示。</w:t>
            </w:r>
          </w:p>
        </w:tc>
      </w:tr>
      <w:tr w14:paraId="3F307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6BBE78">
            <w:pPr>
              <w:spacing w:line="240" w:lineRule="auto"/>
            </w:pPr>
            <w:r>
              <w:rPr>
                <w:rFonts w:hAnsi="宋体"/>
                <w:sz w:val="18"/>
              </w:rPr>
              <w:t>后端</w:t>
            </w:r>
          </w:p>
        </w:tc>
        <w:tc>
          <w:tcPr>
            <w:tcW w:w="2835" w:type="dxa"/>
            <w:vAlign w:val="center"/>
          </w:tcPr>
          <w:p w14:paraId="7676D0DD">
            <w:pPr>
              <w:spacing w:line="240" w:lineRule="auto"/>
            </w:pPr>
            <w:r>
              <w:rPr>
                <w:rFonts w:hAnsi="宋体"/>
                <w:sz w:val="18"/>
              </w:rPr>
              <w:t>Python、FastAPI、Pydantic</w:t>
            </w:r>
          </w:p>
        </w:tc>
        <w:tc>
          <w:tcPr>
            <w:tcW w:w="5669" w:type="dxa"/>
            <w:vAlign w:val="center"/>
          </w:tcPr>
          <w:p w14:paraId="4737B53B">
            <w:pPr>
              <w:spacing w:line="240" w:lineRule="auto"/>
            </w:pPr>
            <w:r>
              <w:rPr>
                <w:rFonts w:hAnsi="宋体"/>
                <w:sz w:val="18"/>
              </w:rPr>
              <w:t>异步友好、自动 OpenAPI、与 AI/解析生态统一语言。</w:t>
            </w:r>
          </w:p>
        </w:tc>
      </w:tr>
      <w:tr w14:paraId="0096A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65F00D">
            <w:pPr>
              <w:spacing w:line="240" w:lineRule="auto"/>
            </w:pPr>
            <w:r>
              <w:rPr>
                <w:rFonts w:hAnsi="宋体"/>
                <w:sz w:val="18"/>
              </w:rPr>
              <w:t>数据访问</w:t>
            </w:r>
          </w:p>
        </w:tc>
        <w:tc>
          <w:tcPr>
            <w:tcW w:w="2835" w:type="dxa"/>
            <w:vAlign w:val="center"/>
          </w:tcPr>
          <w:p w14:paraId="7EB6E82D">
            <w:pPr>
              <w:spacing w:line="240" w:lineRule="auto"/>
            </w:pPr>
            <w:r>
              <w:rPr>
                <w:rFonts w:hAnsi="宋体"/>
                <w:sz w:val="18"/>
              </w:rPr>
              <w:t>SQLAlchemy 2.x、Alembic</w:t>
            </w:r>
          </w:p>
        </w:tc>
        <w:tc>
          <w:tcPr>
            <w:tcW w:w="5669" w:type="dxa"/>
            <w:vAlign w:val="center"/>
          </w:tcPr>
          <w:p w14:paraId="49F61529">
            <w:pPr>
              <w:spacing w:line="240" w:lineRule="auto"/>
            </w:pPr>
            <w:r>
              <w:rPr>
                <w:rFonts w:hAnsi="宋体"/>
                <w:sz w:val="18"/>
              </w:rPr>
              <w:t>ORM 与版本化迁移；测试/演示可用 SQLite，目标 PostgreSQL。</w:t>
            </w:r>
          </w:p>
        </w:tc>
      </w:tr>
      <w:tr w14:paraId="78A5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B13301">
            <w:pPr>
              <w:spacing w:line="240" w:lineRule="auto"/>
            </w:pPr>
            <w:r>
              <w:rPr>
                <w:rFonts w:hAnsi="宋体"/>
                <w:sz w:val="18"/>
              </w:rPr>
              <w:t>论文处理</w:t>
            </w:r>
          </w:p>
        </w:tc>
        <w:tc>
          <w:tcPr>
            <w:tcW w:w="2835" w:type="dxa"/>
            <w:vAlign w:val="center"/>
          </w:tcPr>
          <w:p w14:paraId="5EFE6FAD">
            <w:pPr>
              <w:spacing w:line="240" w:lineRule="auto"/>
            </w:pPr>
            <w:r>
              <w:rPr>
                <w:rFonts w:hAnsi="宋体"/>
                <w:sz w:val="18"/>
              </w:rPr>
              <w:t>httpx/requests、pypdf、HTML 解析器</w:t>
            </w:r>
          </w:p>
        </w:tc>
        <w:tc>
          <w:tcPr>
            <w:tcW w:w="5669" w:type="dxa"/>
            <w:vAlign w:val="center"/>
          </w:tcPr>
          <w:p w14:paraId="620F1BAC">
            <w:pPr>
              <w:spacing w:line="240" w:lineRule="auto"/>
            </w:pPr>
            <w:r>
              <w:rPr>
                <w:rFonts w:hAnsi="宋体"/>
                <w:sz w:val="18"/>
              </w:rPr>
              <w:t>抓取、PDF/HTML 提取和格式回退。</w:t>
            </w:r>
          </w:p>
        </w:tc>
      </w:tr>
      <w:tr w14:paraId="4B62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3F2E3A">
            <w:pPr>
              <w:spacing w:line="240" w:lineRule="auto"/>
            </w:pPr>
            <w:r>
              <w:rPr>
                <w:rFonts w:hAnsi="宋体"/>
                <w:sz w:val="18"/>
              </w:rPr>
              <w:t>异步任务</w:t>
            </w:r>
          </w:p>
        </w:tc>
        <w:tc>
          <w:tcPr>
            <w:tcW w:w="2835" w:type="dxa"/>
            <w:vAlign w:val="center"/>
          </w:tcPr>
          <w:p w14:paraId="58DD548A">
            <w:pPr>
              <w:spacing w:line="240" w:lineRule="auto"/>
            </w:pPr>
            <w:r>
              <w:rPr>
                <w:rFonts w:hAnsi="宋体"/>
                <w:sz w:val="18"/>
              </w:rPr>
              <w:t>当前数据库轮询 Worker；目标 Redis + Celery + Outbox</w:t>
            </w:r>
          </w:p>
        </w:tc>
        <w:tc>
          <w:tcPr>
            <w:tcW w:w="5669" w:type="dxa"/>
            <w:vAlign w:val="center"/>
          </w:tcPr>
          <w:p w14:paraId="3E011A82">
            <w:pPr>
              <w:spacing w:line="240" w:lineRule="auto"/>
            </w:pPr>
            <w:r>
              <w:rPr>
                <w:rFonts w:hAnsi="宋体"/>
                <w:sz w:val="18"/>
              </w:rPr>
              <w:t>先保证闭环，再提升可靠投递和扩缩能力。</w:t>
            </w:r>
          </w:p>
        </w:tc>
      </w:tr>
      <w:tr w14:paraId="42DB9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A1072B">
            <w:pPr>
              <w:spacing w:line="240" w:lineRule="auto"/>
            </w:pPr>
            <w:r>
              <w:rPr>
                <w:rFonts w:hAnsi="宋体"/>
                <w:sz w:val="18"/>
              </w:rPr>
              <w:t>测试</w:t>
            </w:r>
          </w:p>
        </w:tc>
        <w:tc>
          <w:tcPr>
            <w:tcW w:w="2835" w:type="dxa"/>
            <w:vAlign w:val="center"/>
          </w:tcPr>
          <w:p w14:paraId="679CC6CC">
            <w:pPr>
              <w:spacing w:line="240" w:lineRule="auto"/>
            </w:pPr>
            <w:r>
              <w:rPr>
                <w:rFonts w:hAnsi="宋体"/>
                <w:sz w:val="18"/>
              </w:rPr>
              <w:t>pytest、FastAPI TestClient、基准脚本</w:t>
            </w:r>
          </w:p>
        </w:tc>
        <w:tc>
          <w:tcPr>
            <w:tcW w:w="5669" w:type="dxa"/>
            <w:vAlign w:val="center"/>
          </w:tcPr>
          <w:p w14:paraId="04837992">
            <w:pPr>
              <w:spacing w:line="240" w:lineRule="auto"/>
            </w:pPr>
            <w:r>
              <w:rPr>
                <w:rFonts w:hAnsi="宋体"/>
                <w:sz w:val="18"/>
              </w:rPr>
              <w:t>覆盖 ORM、API、契约、Worker、解析与 100 并发基准。</w:t>
            </w:r>
          </w:p>
        </w:tc>
      </w:tr>
      <w:tr w14:paraId="2FC6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BE2186">
            <w:pPr>
              <w:spacing w:line="240" w:lineRule="auto"/>
            </w:pPr>
            <w:r>
              <w:rPr>
                <w:rFonts w:hAnsi="宋体"/>
                <w:sz w:val="18"/>
              </w:rPr>
              <w:t>部署</w:t>
            </w:r>
          </w:p>
        </w:tc>
        <w:tc>
          <w:tcPr>
            <w:tcW w:w="2835" w:type="dxa"/>
            <w:vAlign w:val="center"/>
          </w:tcPr>
          <w:p w14:paraId="02190AEB">
            <w:pPr>
              <w:spacing w:line="240" w:lineRule="auto"/>
            </w:pPr>
            <w:r>
              <w:rPr>
                <w:rFonts w:hAnsi="宋体"/>
                <w:sz w:val="18"/>
              </w:rPr>
              <w:t>当前本机多进程；目标 Docker Compose/Nginx</w:t>
            </w:r>
          </w:p>
        </w:tc>
        <w:tc>
          <w:tcPr>
            <w:tcW w:w="5669" w:type="dxa"/>
            <w:vAlign w:val="center"/>
          </w:tcPr>
          <w:p w14:paraId="15C488F4">
            <w:pPr>
              <w:spacing w:line="240" w:lineRule="auto"/>
            </w:pPr>
            <w:r>
              <w:rPr>
                <w:rFonts w:hAnsi="宋体"/>
                <w:sz w:val="18"/>
              </w:rPr>
              <w:t>维持较低演示成本并保留生产迁移路径。</w:t>
            </w:r>
          </w:p>
        </w:tc>
      </w:tr>
    </w:tbl>
    <w:p w14:paraId="75BCECF0">
      <w:pPr>
        <w:pStyle w:val="15"/>
      </w:pPr>
    </w:p>
    <w:p w14:paraId="6BDAB197">
      <w:pPr>
        <w:pStyle w:val="2"/>
        <w:ind w:left="360" w:hanging="360"/>
      </w:pPr>
      <w:bookmarkStart w:id="10" w:name="_Toc181629337"/>
      <w:bookmarkStart w:id="11" w:name="_Toc54212215"/>
      <w:r>
        <w:rPr>
          <w:rFonts w:hint="eastAsia"/>
        </w:rPr>
        <w:t>数据视图</w:t>
      </w:r>
      <w:bookmarkEnd w:id="10"/>
      <w:bookmarkEnd w:id="11"/>
    </w:p>
    <w:p w14:paraId="3FDBD82E">
      <w:pPr>
        <w:pStyle w:val="51"/>
        <w:rPr>
          <w:i w:val="0"/>
          <w:color w:val="auto"/>
        </w:rPr>
      </w:pPr>
      <w:r>
        <w:rPr>
          <w:rFonts w:hint="eastAsia"/>
          <w:i w:val="0"/>
          <w:color w:val="auto"/>
        </w:rPr>
        <w:t>本数据模型以 PAPERS（论文主表） 为核心实体，采用 "主表 + 业务子表" 的一对多扩展架构，同时通过中间表 PAPER_AUTHORS 实现论文与作者的多对多关联。所有子表均通过 paper_id 外键锚定主表，统一承载论文元数据、全文内容、向量化索引、用户行为、结构化知识提取及标签体系等数据。</w:t>
      </w:r>
    </w:p>
    <w:p w14:paraId="70012CF5">
      <w:pPr>
        <w:pStyle w:val="15"/>
      </w:pPr>
    </w:p>
    <w:p w14:paraId="7826A172">
      <w:pPr>
        <w:pStyle w:val="51"/>
      </w:pPr>
      <w:r>
        <w:rPr>
          <w:rFonts w:hint="eastAsia"/>
        </w:rPr>
        <w:drawing>
          <wp:inline distT="0" distB="0" distL="114300" distR="114300">
            <wp:extent cx="5937250" cy="4270375"/>
            <wp:effectExtent l="0" t="0" r="6350" b="15875"/>
            <wp:docPr id="9" name="图片 9" descr="2694f53ccdf34ed42d9f3257b51b6c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694f53ccdf34ed42d9f3257b51b6c2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45"/>
        <w:gridCol w:w="6395"/>
      </w:tblGrid>
      <w:tr w14:paraId="152177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C88B9">
            <w:pPr>
              <w:spacing w:line="240" w:lineRule="auto"/>
              <w:rPr>
                <w:rFonts w:hint="eastAsia" w:hAnsi="宋体"/>
                <w:b/>
                <w:sz w:val="18"/>
              </w:rPr>
            </w:pPr>
            <w:r>
              <w:rPr>
                <w:rFonts w:hAnsi="宋体"/>
                <w:b/>
                <w:sz w:val="18"/>
              </w:rPr>
              <w:t>表名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61A37">
            <w:pPr>
              <w:spacing w:line="240" w:lineRule="auto"/>
              <w:rPr>
                <w:rFonts w:hint="eastAsia" w:hAnsi="宋体"/>
                <w:b/>
                <w:sz w:val="18"/>
              </w:rPr>
            </w:pPr>
            <w:r>
              <w:rPr>
                <w:rFonts w:hAnsi="宋体"/>
                <w:b/>
                <w:sz w:val="18"/>
              </w:rPr>
              <w:t>说明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8974E">
            <w:pPr>
              <w:spacing w:line="240" w:lineRule="auto"/>
              <w:rPr>
                <w:rFonts w:hint="eastAsia" w:hAnsi="宋体"/>
                <w:b/>
                <w:sz w:val="18"/>
              </w:rPr>
            </w:pPr>
            <w:r>
              <w:rPr>
                <w:rFonts w:hAnsi="宋体"/>
                <w:b/>
                <w:sz w:val="18"/>
              </w:rPr>
              <w:t>核心定位</w:t>
            </w:r>
          </w:p>
        </w:tc>
      </w:tr>
      <w:tr w14:paraId="299CCF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94114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PAPERS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26133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论文主表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7BF91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存储论文元数据（标题、作者、发表时间、分类、摘要）及摘要向量，是全系统数据枢纽</w:t>
            </w:r>
          </w:p>
        </w:tc>
      </w:tr>
      <w:tr w14:paraId="06B015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4398D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PAPER_CONTENTS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0DFCB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论文内容表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6351B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存储论文全文分块内容及对应 embedding，支撑语义检索</w:t>
            </w:r>
          </w:p>
        </w:tc>
      </w:tr>
      <w:tr w14:paraId="5A135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0BD14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TEXT_CHUNKS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261CF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文本块表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F2F38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按页码 / 章节粒度的细粒度文本分块，支持精准定位与引用回溯</w:t>
            </w:r>
          </w:p>
        </w:tc>
      </w:tr>
      <w:tr w14:paraId="637F2A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4D6BC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USER_ACTIONS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ECBB5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用户行为表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99753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记录用户对论文的阅读、收藏、标注等操作，用于个性化推荐</w:t>
            </w:r>
          </w:p>
        </w:tc>
      </w:tr>
      <w:tr w14:paraId="485F6F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70CC4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STRUCTURED_RESULTS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17C8A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结构化结果表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3A2F5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存储 AI 提取的导读、总结等结构化知识，含版本号与置信度</w:t>
            </w:r>
          </w:p>
        </w:tc>
      </w:tr>
      <w:tr w14:paraId="32363B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F2A76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PAPER_TAGS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C99C7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论文标签表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447E0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管理论文多维度标签体系，支持术语分级与学习进度追踪</w:t>
            </w:r>
          </w:p>
        </w:tc>
      </w:tr>
      <w:tr w14:paraId="4220BF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104BA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PAPER_AUTHORS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F4384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论文作者关联表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DE0AA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中间表，解耦论文与作者的多对多关系</w:t>
            </w:r>
          </w:p>
        </w:tc>
      </w:tr>
      <w:tr w14:paraId="530FF4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E9277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AUTHORS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5CE46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作者表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734C3">
            <w:pPr>
              <w:spacing w:line="240" w:lineRule="auto"/>
              <w:rPr>
                <w:rFonts w:hint="eastAsia" w:hAnsi="宋体"/>
                <w:b w:val="0"/>
                <w:bCs/>
                <w:sz w:val="18"/>
              </w:rPr>
            </w:pPr>
            <w:r>
              <w:rPr>
                <w:rFonts w:hAnsi="宋体"/>
                <w:b w:val="0"/>
                <w:bCs/>
                <w:sz w:val="18"/>
              </w:rPr>
              <w:t>存储作者标准化信息（标准名、中文名、ORCID）</w:t>
            </w:r>
          </w:p>
        </w:tc>
      </w:tr>
    </w:tbl>
    <w:p w14:paraId="262F661E">
      <w:pPr>
        <w:pStyle w:val="15"/>
      </w:pPr>
    </w:p>
    <w:p w14:paraId="036D5A3A">
      <w:pPr>
        <w:pStyle w:val="2"/>
        <w:ind w:left="360" w:hanging="360"/>
      </w:pPr>
      <w:bookmarkStart w:id="12" w:name="_Toc181629338"/>
      <w:bookmarkStart w:id="13" w:name="_Toc54212216"/>
      <w:r>
        <w:rPr>
          <w:rFonts w:hint="eastAsia"/>
        </w:rPr>
        <w:t xml:space="preserve">   算法视图</w:t>
      </w:r>
      <w:bookmarkEnd w:id="12"/>
    </w:p>
    <w:p w14:paraId="070FA92E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在这个项目中证据检索与论文问答算法尤为关键：</w:t>
      </w:r>
    </w:p>
    <w:p w14:paraId="0DC9E9EE">
      <w:pPr>
        <w:pStyle w:val="51"/>
        <w:ind w:left="0" w:leftChars="0" w:firstLine="0" w:firstLineChars="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9.1查询预处理</w:t>
      </w:r>
    </w:p>
    <w:p w14:paraId="534CA5D3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问答请求先判断是否是简短追问，例如“为什么”“它怎么做”。如果是，系统会把最近两轮用户问题与当前问题拼接，解决代词和上下文缺失问题。</w:t>
      </w:r>
    </w:p>
    <w:p w14:paraId="3E826985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查询词会经过以下处理：</w:t>
      </w:r>
    </w:p>
    <w:p w14:paraId="2C16EC68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•</w:t>
      </w:r>
      <w:r>
        <w:rPr>
          <w:rFonts w:hint="eastAsia"/>
          <w:i w:val="0"/>
          <w:color w:val="auto"/>
          <w:lang w:val="en-US" w:eastAsia="zh-CN"/>
        </w:rPr>
        <w:t xml:space="preserve"> </w:t>
      </w:r>
      <w:r>
        <w:rPr>
          <w:rFonts w:hint="eastAsia"/>
          <w:i w:val="0"/>
          <w:color w:val="auto"/>
        </w:rPr>
        <w:t>英文统一大小写，并进行有限的词形归一化，例如 experiments 归一为 experiment。</w:t>
      </w:r>
    </w:p>
    <w:p w14:paraId="06782A80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•</w:t>
      </w:r>
      <w:r>
        <w:rPr>
          <w:rFonts w:hint="eastAsia"/>
          <w:i w:val="0"/>
          <w:color w:val="auto"/>
          <w:lang w:val="en-US" w:eastAsia="zh-CN"/>
        </w:rPr>
        <w:t xml:space="preserve"> </w:t>
      </w:r>
      <w:r>
        <w:rPr>
          <w:rFonts w:hint="eastAsia"/>
          <w:i w:val="0"/>
          <w:color w:val="auto"/>
        </w:rPr>
        <w:t>中文按连续汉字提取二元词，同时保留完整短语。</w:t>
      </w:r>
    </w:p>
    <w:p w14:paraId="4B032660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•</w:t>
      </w:r>
      <w:r>
        <w:rPr>
          <w:rFonts w:hint="eastAsia"/>
          <w:i w:val="0"/>
          <w:color w:val="auto"/>
          <w:lang w:val="en-US" w:eastAsia="zh-CN"/>
        </w:rPr>
        <w:t xml:space="preserve"> </w:t>
      </w:r>
      <w:r>
        <w:rPr>
          <w:rFonts w:hint="eastAsia"/>
          <w:i w:val="0"/>
          <w:color w:val="auto"/>
        </w:rPr>
        <w:t>去除常见停用词。</w:t>
      </w:r>
    </w:p>
    <w:p w14:paraId="6D538113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•</w:t>
      </w:r>
      <w:r>
        <w:rPr>
          <w:rFonts w:hint="eastAsia"/>
          <w:i w:val="0"/>
          <w:color w:val="auto"/>
          <w:lang w:val="en-US" w:eastAsia="zh-CN"/>
        </w:rPr>
        <w:t xml:space="preserve"> </w:t>
      </w:r>
      <w:r>
        <w:rPr>
          <w:rFonts w:hint="eastAsia"/>
          <w:i w:val="0"/>
          <w:color w:val="auto"/>
        </w:rPr>
        <w:t>根据领域词典扩展同义词，例如“方法”扩展为 method、approach、architecture，“实验”扩展为 experiment、evaluation、benchmark。</w:t>
      </w:r>
    </w:p>
    <w:p w14:paraId="535A8CBD">
      <w:pPr>
        <w:pStyle w:val="51"/>
        <w:ind w:left="0" w:leftChars="0" w:firstLine="0" w:firstLineChars="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9.2文本块评分算法</w:t>
      </w:r>
    </w:p>
    <w:p w14:paraId="53D61E61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对每个文本块计算词法相关度：</w:t>
      </w:r>
    </w:p>
    <w:p w14:paraId="58584268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score = |query_tokens ∩ content_tokens| / |query_tokens|</w:t>
      </w:r>
    </w:p>
    <w:p w14:paraId="4CF88172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•</w:t>
      </w:r>
      <w:r>
        <w:rPr>
          <w:rFonts w:hint="eastAsia"/>
          <w:i w:val="0"/>
          <w:color w:val="auto"/>
          <w:lang w:val="en-US" w:eastAsia="zh-CN"/>
        </w:rPr>
        <w:t xml:space="preserve"> </w:t>
      </w:r>
      <w:r>
        <w:rPr>
          <w:rFonts w:hint="eastAsia"/>
          <w:i w:val="0"/>
          <w:color w:val="auto"/>
        </w:rPr>
        <w:t>0.50 (原始问题完整出现在文本块中)</w:t>
      </w:r>
    </w:p>
    <w:p w14:paraId="748AE14E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•</w:t>
      </w:r>
      <w:r>
        <w:rPr>
          <w:rFonts w:hint="eastAsia"/>
          <w:i w:val="0"/>
          <w:color w:val="auto"/>
          <w:lang w:val="en-US" w:eastAsia="zh-CN"/>
        </w:rPr>
        <w:t xml:space="preserve"> </w:t>
      </w:r>
      <w:r>
        <w:rPr>
          <w:rFonts w:hint="eastAsia"/>
          <w:i w:val="0"/>
          <w:color w:val="auto"/>
        </w:rPr>
        <w:t>0.05 (文本块长度不少于 120 个字符)</w:t>
      </w:r>
    </w:p>
    <w:p w14:paraId="0EF266F3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•</w:t>
      </w:r>
      <w:r>
        <w:rPr>
          <w:rFonts w:hint="eastAsia"/>
          <w:i w:val="0"/>
          <w:color w:val="auto"/>
          <w:lang w:val="en-US" w:eastAsia="zh-CN"/>
        </w:rPr>
        <w:t xml:space="preserve"> </w:t>
      </w:r>
      <w:r>
        <w:rPr>
          <w:rFonts w:hint="eastAsia"/>
          <w:i w:val="0"/>
          <w:color w:val="auto"/>
        </w:rPr>
        <w:t>0.20 (检测到目录、版权或 arXiv 元信息等噪声)</w:t>
      </w:r>
    </w:p>
    <w:p w14:paraId="623C025A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系统按分数、文本长度和数据库 ID 排序，保留前 top_k 个文本块，并过滤低于最低检索分数的结果。当前实现不依赖向量数据库，采用数据库文本块遍历和规则评分。</w:t>
      </w:r>
    </w:p>
    <w:p w14:paraId="1CA568B8">
      <w:pPr>
        <w:pStyle w:val="51"/>
        <w:ind w:left="0" w:leftChars="0" w:firstLine="0" w:firstLineChars="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9.3 Agent 回答与引用校验</w:t>
      </w:r>
    </w:p>
    <w:p w14:paraId="33C35B5C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检索到的证据会被编号为 E1、E2 等，并连同页码、章节和文本内容发送给问答 Agent。Agent 必须返回以下结构：</w:t>
      </w:r>
    </w:p>
    <w:p w14:paraId="6894AC90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{ "answer": "面向用户的中文回答", "evidence_ids": ["E1", "E2"], "refuse": false }</w:t>
      </w:r>
    </w:p>
    <w:p w14:paraId="2AAD0FD8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后端执行三次保护：</w:t>
      </w:r>
    </w:p>
    <w:p w14:paraId="4C458ACA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1.只接受本次证据集合中存在的编号，拒绝模型编造引用。</w:t>
      </w:r>
    </w:p>
    <w:p w14:paraId="22EA3F80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2.计算回答与引用文本块的词汇支持度，排除无法支撑回答的引用。</w:t>
      </w:r>
    </w:p>
    <w:p w14:paraId="0F92DC5B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3.如果 Agent 拒答、没有有效引用或最终没有可展示的引用，返回“依据不足”，不输出无来源答案。</w:t>
      </w:r>
    </w:p>
    <w:p w14:paraId="4C01C710">
      <w:pPr>
        <w:pStyle w:val="51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因此，问答 Agent 负责理解、归纳和组织语言；证据检索与后端校验负责限制回答范围。该设计可以降低“看似合理但论文没有依据”的回答风险，但不能替代人工核对原文。</w:t>
      </w:r>
    </w:p>
    <w:p w14:paraId="4292936E">
      <w:pPr>
        <w:pStyle w:val="2"/>
        <w:ind w:left="360" w:hanging="360"/>
      </w:pPr>
      <w:bookmarkStart w:id="14" w:name="_Toc181629339"/>
      <w:r>
        <w:rPr>
          <w:rFonts w:hint="eastAsia"/>
        </w:rPr>
        <w:t>性能视图</w:t>
      </w:r>
      <w:bookmarkEnd w:id="13"/>
      <w:bookmarkEnd w:id="14"/>
    </w:p>
    <w:p w14:paraId="0C2EBB61">
      <w:pPr>
        <w:pStyle w:val="51"/>
        <w:numPr>
          <w:ilvl w:val="0"/>
          <w:numId w:val="4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同步 API 仅执行校验、查询和轻量写入；预计超过 2 秒的抓取、解析和模型调用交给 Worker。</w:t>
      </w:r>
    </w:p>
    <w:p w14:paraId="77D73899">
      <w:pPr>
        <w:pStyle w:val="51"/>
        <w:numPr>
          <w:ilvl w:val="0"/>
          <w:numId w:val="4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论文列表采用数据库筛选、分页和必要索引；大正文与中间文件避免直接嵌入频繁列表响应。</w:t>
      </w:r>
    </w:p>
    <w:p w14:paraId="16A346E9">
      <w:pPr>
        <w:pStyle w:val="51"/>
        <w:numPr>
          <w:ilvl w:val="0"/>
          <w:numId w:val="4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Worker 可按 IO、CPU、Model 工作负载拆队列并独立扩容；模型调用设置并发上限和超时。</w:t>
      </w:r>
    </w:p>
    <w:p w14:paraId="10E41FE8">
      <w:pPr>
        <w:pStyle w:val="51"/>
        <w:numPr>
          <w:ilvl w:val="0"/>
          <w:numId w:val="4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缓存下载文件和固定样例，避免重复访问 arXiv；遵守 Rate Limit。</w:t>
      </w:r>
    </w:p>
    <w:p w14:paraId="1AA8B0CB">
      <w:pPr>
        <w:pStyle w:val="51"/>
        <w:numPr>
          <w:ilvl w:val="0"/>
          <w:numId w:val="4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通过 backend/scripts/benchmark_service.py 与 benchmark_api.py 验证 100 并发，并单独统计 LLM 耗时。</w:t>
      </w:r>
    </w:p>
    <w:p w14:paraId="54932759">
      <w:pPr>
        <w:pStyle w:val="51"/>
      </w:pPr>
    </w:p>
    <w:p w14:paraId="2C5965BD">
      <w:pPr>
        <w:pStyle w:val="2"/>
        <w:ind w:left="360" w:hanging="360"/>
      </w:pPr>
      <w:bookmarkStart w:id="15" w:name="_Toc181629340"/>
      <w:r>
        <w:rPr>
          <w:rFonts w:hint="eastAsia"/>
        </w:rPr>
        <w:t>可靠性视图</w:t>
      </w:r>
      <w:bookmarkEnd w:id="15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7"/>
        <w:gridCol w:w="6859"/>
      </w:tblGrid>
      <w:tr w14:paraId="0972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CA0C66B">
            <w:pPr>
              <w:pStyle w:val="51"/>
              <w:rPr>
                <w:b/>
                <w:bCs/>
                <w:i w:val="0"/>
                <w:color w:val="auto"/>
              </w:rPr>
            </w:pPr>
            <w:r>
              <w:rPr>
                <w:rFonts w:hint="eastAsia"/>
                <w:b/>
                <w:bCs/>
                <w:i w:val="0"/>
                <w:color w:val="auto"/>
              </w:rPr>
              <w:t>风险</w:t>
            </w:r>
          </w:p>
        </w:tc>
        <w:tc>
          <w:tcPr>
            <w:tcW w:w="7370" w:type="dxa"/>
            <w:vAlign w:val="center"/>
          </w:tcPr>
          <w:p w14:paraId="3EE8F101">
            <w:pPr>
              <w:pStyle w:val="51"/>
              <w:rPr>
                <w:b/>
                <w:bCs/>
                <w:i w:val="0"/>
                <w:color w:val="auto"/>
              </w:rPr>
            </w:pPr>
            <w:r>
              <w:rPr>
                <w:rFonts w:hint="eastAsia"/>
                <w:b/>
                <w:bCs/>
                <w:i w:val="0"/>
                <w:color w:val="auto"/>
              </w:rPr>
              <w:t>架构战术</w:t>
            </w:r>
          </w:p>
        </w:tc>
      </w:tr>
      <w:tr w14:paraId="59832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B12D065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外部论文源超时/限流</w:t>
            </w:r>
          </w:p>
        </w:tc>
        <w:tc>
          <w:tcPr>
            <w:tcW w:w="7370" w:type="dxa"/>
            <w:vAlign w:val="center"/>
          </w:tcPr>
          <w:p w14:paraId="6BD15A53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连接与总超时、Retry-After、有限重试、本地缓存、PDF/HTML 回退。</w:t>
            </w:r>
          </w:p>
        </w:tc>
      </w:tr>
      <w:tr w14:paraId="31FF1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74B28EA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Worker 崩溃或重复执行</w:t>
            </w:r>
          </w:p>
        </w:tc>
        <w:tc>
          <w:tcPr>
            <w:tcW w:w="7370" w:type="dxa"/>
            <w:vAlign w:val="center"/>
          </w:tcPr>
          <w:p w14:paraId="396D5267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数据库权威状态、心跳与 stale 扫描、幂等键、唯一约束、阶段检查点。</w:t>
            </w:r>
          </w:p>
        </w:tc>
      </w:tr>
      <w:tr w14:paraId="7578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25BD399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消息代理不可用（目标架构）</w:t>
            </w:r>
          </w:p>
        </w:tc>
        <w:tc>
          <w:tcPr>
            <w:tcW w:w="7370" w:type="dxa"/>
            <w:vAlign w:val="center"/>
          </w:tcPr>
          <w:p w14:paraId="37D15A0B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事务 Outbox 保留待投递记录，代理恢复后补投。</w:t>
            </w:r>
          </w:p>
        </w:tc>
      </w:tr>
      <w:tr w14:paraId="0E5AF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B8D796A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解析格式不支持</w:t>
            </w:r>
          </w:p>
        </w:tc>
        <w:tc>
          <w:tcPr>
            <w:tcW w:w="7370" w:type="dxa"/>
            <w:vAlign w:val="center"/>
          </w:tcPr>
          <w:p w14:paraId="1D778CA2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保留元数据和官方摘要，记录稳定错误码，不进行无意义重试。</w:t>
            </w:r>
          </w:p>
        </w:tc>
      </w:tr>
      <w:tr w14:paraId="572AA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25DD254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模型不可用或输出不可靠</w:t>
            </w:r>
          </w:p>
        </w:tc>
        <w:tc>
          <w:tcPr>
            <w:tcW w:w="7370" w:type="dxa"/>
            <w:vAlign w:val="center"/>
          </w:tcPr>
          <w:p w14:paraId="745AB6FB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离线样例降级、引用验证、无依据拒答、版本化结果。</w:t>
            </w:r>
          </w:p>
        </w:tc>
      </w:tr>
      <w:tr w14:paraId="64419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B2A7052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数据库故障</w:t>
            </w:r>
          </w:p>
        </w:tc>
        <w:tc>
          <w:tcPr>
            <w:tcW w:w="7370" w:type="dxa"/>
            <w:vAlign w:val="center"/>
          </w:tcPr>
          <w:p w14:paraId="4623BE20">
            <w:pPr>
              <w:pStyle w:val="51"/>
              <w:rPr>
                <w:i w:val="0"/>
                <w:color w:val="auto"/>
              </w:rPr>
            </w:pPr>
            <w:r>
              <w:rPr>
                <w:rFonts w:hint="eastAsia"/>
                <w:i w:val="0"/>
                <w:color w:val="auto"/>
              </w:rPr>
              <w:t>迁移可重放、定期备份；生产采用托管高可用或主备。</w:t>
            </w:r>
          </w:p>
        </w:tc>
      </w:tr>
    </w:tbl>
    <w:p w14:paraId="4461DCAA">
      <w:pPr>
        <w:pStyle w:val="51"/>
        <w:rPr>
          <w:i w:val="0"/>
          <w:color w:val="auto"/>
        </w:rPr>
      </w:pPr>
    </w:p>
    <w:p w14:paraId="795B3B8C">
      <w:pPr>
        <w:pStyle w:val="2"/>
        <w:ind w:left="360" w:hanging="360"/>
      </w:pPr>
      <w:bookmarkStart w:id="16" w:name="_Toc181629341"/>
      <w:r>
        <w:rPr>
          <w:rFonts w:hint="eastAsia"/>
        </w:rPr>
        <w:t>安全性视图</w:t>
      </w:r>
      <w:bookmarkEnd w:id="16"/>
    </w:p>
    <w:p w14:paraId="3C08693D">
      <w:pPr>
        <w:pStyle w:val="51"/>
        <w:rPr>
          <w:i w:val="0"/>
          <w:color w:val="auto"/>
        </w:rPr>
      </w:pPr>
      <w:r>
        <w:rPr>
          <w:rFonts w:hint="eastAsia"/>
          <w:i w:val="0"/>
          <w:color w:val="auto"/>
        </w:rPr>
        <w:t>当前原型的登录与管理员界面主要用于演示，不能视为完整认证授权。正式交付前应实现服务端身份认证、资源所有权校验和管理员角色控制。</w:t>
      </w:r>
    </w:p>
    <w:p w14:paraId="29BA1AE9">
      <w:pPr>
        <w:pStyle w:val="51"/>
        <w:rPr>
          <w:i w:val="0"/>
          <w:color w:val="auto"/>
        </w:rPr>
      </w:pPr>
      <w:r>
        <w:rPr>
          <w:rFonts w:hint="eastAsia"/>
          <w:i w:val="0"/>
          <w:color w:val="auto"/>
        </w:rPr>
        <w:t>所有输入由 Pydantic 校验；数据库访问使用 ORM/参数化查询。</w:t>
      </w:r>
    </w:p>
    <w:p w14:paraId="63A716A3">
      <w:pPr>
        <w:pStyle w:val="51"/>
        <w:rPr>
          <w:i w:val="0"/>
          <w:color w:val="auto"/>
        </w:rPr>
      </w:pPr>
      <w:r>
        <w:rPr>
          <w:rFonts w:hint="eastAsia"/>
          <w:i w:val="0"/>
          <w:color w:val="auto"/>
        </w:rPr>
        <w:t>用户收藏、笔记、历史、任务和结果查询必须校验 user_id/资源所有权，不能仅依赖前端路由守卫。</w:t>
      </w:r>
    </w:p>
    <w:p w14:paraId="1C1C5BAF">
      <w:pPr>
        <w:pStyle w:val="51"/>
        <w:rPr>
          <w:i w:val="0"/>
          <w:color w:val="auto"/>
        </w:rPr>
      </w:pPr>
      <w:r>
        <w:rPr>
          <w:rFonts w:hint="eastAsia"/>
          <w:i w:val="0"/>
          <w:color w:val="auto"/>
        </w:rPr>
        <w:t>模型/API 密钥仅由服务端环境变量或密钥管理服务提供，不返回前端、不写日志。</w:t>
      </w:r>
    </w:p>
    <w:p w14:paraId="06F614B5">
      <w:pPr>
        <w:pStyle w:val="51"/>
        <w:rPr>
          <w:i w:val="0"/>
          <w:color w:val="auto"/>
        </w:rPr>
      </w:pPr>
      <w:r>
        <w:rPr>
          <w:rFonts w:hint="eastAsia"/>
          <w:i w:val="0"/>
          <w:color w:val="auto"/>
        </w:rPr>
        <w:t>限制上传/下载大小与 MIME 类型，防止路径穿越；PDF/HTML 作为不可信输入处理。</w:t>
      </w:r>
    </w:p>
    <w:p w14:paraId="298505D9">
      <w:pPr>
        <w:pStyle w:val="51"/>
        <w:rPr>
          <w:i w:val="0"/>
          <w:color w:val="auto"/>
        </w:rPr>
      </w:pPr>
      <w:r>
        <w:rPr>
          <w:rFonts w:hint="eastAsia"/>
          <w:i w:val="0"/>
          <w:color w:val="auto"/>
        </w:rPr>
        <w:t>配置 CORS 白名单、TLS、速率限制和安全响应头；错误响应不暴露堆栈、SQL、密钥或完整提示词。</w:t>
      </w:r>
    </w:p>
    <w:p w14:paraId="6F3E221B">
      <w:pPr>
        <w:pStyle w:val="51"/>
        <w:rPr>
          <w:i w:val="0"/>
          <w:color w:val="auto"/>
        </w:rPr>
      </w:pPr>
      <w:r>
        <w:rPr>
          <w:rFonts w:hint="eastAsia"/>
          <w:i w:val="0"/>
          <w:color w:val="auto"/>
        </w:rPr>
        <w:t>日志保留 request_id/correlation_id 和必要审计字段，但不记录论文全文、用户敏感笔记或凭据。</w:t>
      </w:r>
    </w:p>
    <w:p w14:paraId="3DAF6291">
      <w:pPr>
        <w:pStyle w:val="51"/>
        <w:rPr>
          <w:i w:val="0"/>
          <w:color w:val="auto"/>
        </w:rPr>
      </w:pPr>
    </w:p>
    <w:p w14:paraId="0C6518CA">
      <w:pPr>
        <w:pStyle w:val="2"/>
        <w:ind w:left="360" w:hanging="360"/>
      </w:pPr>
      <w:bookmarkStart w:id="17" w:name="_Toc181629342"/>
      <w:r>
        <w:rPr>
          <w:rFonts w:hint="eastAsia"/>
        </w:rPr>
        <w:t>易用性视图</w:t>
      </w:r>
      <w:bookmarkEnd w:id="17"/>
    </w:p>
    <w:p w14:paraId="1D74B522">
      <w:pPr>
        <w:pStyle w:val="51"/>
        <w:rPr>
          <w:i w:val="0"/>
          <w:color w:val="auto"/>
        </w:rPr>
      </w:pPr>
      <w:r>
        <w:rPr>
          <w:rFonts w:hint="eastAsia"/>
          <w:i w:val="0"/>
          <w:color w:val="auto"/>
        </w:rPr>
        <w:t>前端提供登录、工作空间、论文详情、学习空间、管理员后台和设置六类页面；通过一致的导航、加载/空/失败状态、任务进度轮询和 Mock 降级保证演示连续性。论文详情采用正文与辅助侧栏并置，答案须可跳转或定位到出处。页面应适配常见分辨率，并为键盘操作、颜色对比度和错误恢复提供基本支持。</w:t>
      </w:r>
    </w:p>
    <w:p w14:paraId="21559239">
      <w:pPr>
        <w:pStyle w:val="51"/>
      </w:pPr>
    </w:p>
    <w:p w14:paraId="6AD76960">
      <w:pPr>
        <w:pStyle w:val="2"/>
        <w:ind w:left="360" w:hanging="360"/>
      </w:pPr>
      <w:bookmarkStart w:id="18" w:name="_Toc181629343"/>
      <w:r>
        <w:rPr>
          <w:rFonts w:hint="eastAsia"/>
        </w:rPr>
        <w:t>可维护性视图</w:t>
      </w:r>
      <w:bookmarkEnd w:id="18"/>
    </w:p>
    <w:p w14:paraId="64F26B74">
      <w:pPr>
        <w:pStyle w:val="51"/>
        <w:numPr>
          <w:ilvl w:val="0"/>
          <w:numId w:val="5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以 API/Schema、Service、Repository、Model/Core 分层，禁止跨层直接依赖和跨模块任意写表。</w:t>
      </w:r>
    </w:p>
    <w:p w14:paraId="43112A6A">
      <w:pPr>
        <w:pStyle w:val="51"/>
        <w:numPr>
          <w:ilvl w:val="0"/>
          <w:numId w:val="5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OpenAPI、Pipeline contracts 和样例 JSON 共同约束前后端字段；接口变更同步更新测试。</w:t>
      </w:r>
    </w:p>
    <w:p w14:paraId="04950638">
      <w:pPr>
        <w:pStyle w:val="51"/>
        <w:numPr>
          <w:ilvl w:val="0"/>
          <w:numId w:val="5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数据库结构通过 Alembic 迁移，不以手工改库代替版本管理。</w:t>
      </w:r>
    </w:p>
    <w:p w14:paraId="641C406C">
      <w:pPr>
        <w:pStyle w:val="51"/>
        <w:numPr>
          <w:ilvl w:val="0"/>
          <w:numId w:val="5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外部数据源、解析器和模型封装为适配器，支持替换与离线样例。</w:t>
      </w:r>
    </w:p>
    <w:p w14:paraId="2AE06446">
      <w:pPr>
        <w:pStyle w:val="51"/>
        <w:numPr>
          <w:ilvl w:val="0"/>
          <w:numId w:val="5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关键决策写入 ADR；架构图、文档、源码和测试在每次迭代评审时同步。</w:t>
      </w:r>
    </w:p>
    <w:p w14:paraId="7D73A0A0">
      <w:pPr>
        <w:pStyle w:val="51"/>
        <w:numPr>
          <w:ilvl w:val="0"/>
          <w:numId w:val="5"/>
        </w:numPr>
        <w:rPr>
          <w:i w:val="0"/>
          <w:color w:val="auto"/>
        </w:rPr>
      </w:pPr>
      <w:r>
        <w:rPr>
          <w:rFonts w:hint="eastAsia"/>
          <w:i w:val="0"/>
          <w:color w:val="auto"/>
        </w:rPr>
        <w:t>当前未实现与目标能力显式区分；仅在出现独立扩缩、独立发布或团队所有权需求后评估拆分微服务。</w:t>
      </w:r>
    </w:p>
    <w:p w14:paraId="57E61A1A"/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0259DDD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314F8CE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99C44F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&lt;SJTU&gt;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</w:t>
          </w:r>
          <w:r>
            <w:rPr>
              <w:rFonts w:ascii="Times New Roman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40D03DD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6"/>
              <w:rFonts w:ascii="Times New Roman"/>
            </w:rPr>
            <w:fldChar w:fldCharType="begin"/>
          </w:r>
          <w:r>
            <w:rPr>
              <w:rStyle w:val="36"/>
              <w:rFonts w:ascii="Times New Roman"/>
            </w:rPr>
            <w:instrText xml:space="preserve"> PAGE </w:instrText>
          </w:r>
          <w:r>
            <w:rPr>
              <w:rStyle w:val="36"/>
              <w:rFonts w:ascii="Times New Roman"/>
            </w:rPr>
            <w:fldChar w:fldCharType="separate"/>
          </w:r>
          <w:r>
            <w:rPr>
              <w:rStyle w:val="36"/>
              <w:rFonts w:ascii="Times New Roman"/>
            </w:rPr>
            <w:t>2</w:t>
          </w:r>
          <w:r>
            <w:rPr>
              <w:rStyle w:val="36"/>
              <w:rFonts w:ascii="Times New Roman"/>
            </w:rPr>
            <w:fldChar w:fldCharType="end"/>
          </w:r>
          <w:r>
            <w:rPr>
              <w:rStyle w:val="36"/>
              <w:rFonts w:ascii="Times New Roman"/>
            </w:rPr>
            <w:t xml:space="preserve"> of </w:t>
          </w:r>
          <w:r>
            <w:rPr>
              <w:rStyle w:val="36"/>
              <w:rFonts w:ascii="Times New Roman"/>
            </w:rPr>
            <w:fldChar w:fldCharType="begin"/>
          </w:r>
          <w:r>
            <w:rPr>
              <w:rStyle w:val="36"/>
              <w:rFonts w:ascii="Times New Roman"/>
            </w:rPr>
            <w:instrText xml:space="preserve"> NUMPAGES  \* MERGEFORMAT </w:instrText>
          </w:r>
          <w:r>
            <w:rPr>
              <w:rStyle w:val="36"/>
              <w:rFonts w:ascii="Times New Roman"/>
            </w:rPr>
            <w:fldChar w:fldCharType="separate"/>
          </w:r>
          <w:r>
            <w:rPr>
              <w:rStyle w:val="36"/>
            </w:rPr>
            <w:t>5</w:t>
          </w:r>
          <w:r>
            <w:rPr>
              <w:rStyle w:val="36"/>
              <w:rFonts w:ascii="Times New Roman"/>
            </w:rPr>
            <w:fldChar w:fldCharType="end"/>
          </w:r>
        </w:p>
      </w:tc>
    </w:tr>
  </w:tbl>
  <w:p w14:paraId="4C9FA565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B1564">
    <w:pPr>
      <w:rPr>
        <w:sz w:val="24"/>
      </w:rPr>
    </w:pPr>
  </w:p>
  <w:p w14:paraId="79A09942">
    <w:pPr>
      <w:pBdr>
        <w:top w:val="single" w:color="auto" w:sz="6" w:space="1"/>
      </w:pBdr>
      <w:rPr>
        <w:sz w:val="24"/>
      </w:rPr>
    </w:pPr>
  </w:p>
  <w:p w14:paraId="2124639A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0C0DD0B5">
    <w:pPr>
      <w:pBdr>
        <w:bottom w:val="single" w:color="auto" w:sz="6" w:space="1"/>
      </w:pBdr>
      <w:jc w:val="right"/>
      <w:rPr>
        <w:sz w:val="24"/>
      </w:rPr>
    </w:pPr>
  </w:p>
  <w:p w14:paraId="090C675B">
    <w:pPr>
      <w:pStyle w:val="2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78CC543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76F6C52E">
          <w:r>
            <w:rPr>
              <w:rFonts w:hint="eastAsia"/>
            </w:rPr>
            <w:t>PaperMate论文阅读助手</w:t>
          </w:r>
        </w:p>
      </w:tc>
      <w:tc>
        <w:tcPr>
          <w:tcW w:w="3179" w:type="dxa"/>
        </w:tcPr>
        <w:p w14:paraId="73F77EE7">
          <w:pPr>
            <w:tabs>
              <w:tab w:val="left" w:pos="1135"/>
              <w:tab w:val="center" w:pos="1481"/>
            </w:tabs>
            <w:spacing w:before="40"/>
            <w:ind w:right="68"/>
            <w:rPr>
              <w:rFonts w:hint="eastAsia" w:eastAsia="宋体"/>
              <w:lang w:val="en-US" w:eastAsia="zh-CN"/>
            </w:rPr>
          </w:pPr>
          <w:r>
            <w:rPr>
              <w:rFonts w:ascii="Times New Roman"/>
            </w:rPr>
            <w:t xml:space="preserve">  Version:</w:t>
          </w:r>
          <w:r>
            <w:rPr>
              <w:rFonts w:hint="eastAsia" w:ascii="Times New Roman"/>
            </w:rPr>
            <w:t>1.</w:t>
          </w:r>
          <w:r>
            <w:rPr>
              <w:rFonts w:hint="eastAsia" w:ascii="Times New Roman"/>
              <w:lang w:val="en-US" w:eastAsia="zh-CN"/>
            </w:rPr>
            <w:t>1</w:t>
          </w:r>
        </w:p>
      </w:tc>
    </w:tr>
    <w:tr w14:paraId="0D0746FC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1C8666D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软件架构文档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100E3B58">
          <w:r>
            <w:rPr>
              <w:rFonts w:ascii="Times New Roman"/>
            </w:rPr>
            <w:t xml:space="preserve">  Date:  </w:t>
          </w:r>
          <w:r>
            <w:rPr>
              <w:rFonts w:hint="eastAsia" w:ascii="Times New Roman"/>
            </w:rPr>
            <w:t>7/</w:t>
          </w:r>
          <w:r>
            <w:rPr>
              <w:rFonts w:hint="eastAsia" w:ascii="Times New Roman"/>
              <w:lang w:val="en-US" w:eastAsia="zh-CN"/>
            </w:rPr>
            <w:t>20</w:t>
          </w:r>
          <w:r>
            <w:rPr>
              <w:rFonts w:hint="eastAsia" w:ascii="Times New Roman"/>
            </w:rPr>
            <w:t>/2026</w:t>
          </w:r>
        </w:p>
      </w:tc>
    </w:tr>
  </w:tbl>
  <w:p w14:paraId="6B3AE4DF"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5C2A9"/>
    <w:multiLevelType w:val="singleLevel"/>
    <w:tmpl w:val="B2D5C2A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</w:lvl>
    <w:lvl w:ilvl="2" w:tentative="0">
      <w:start w:val="1"/>
      <w:numFmt w:val="decimal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2">
    <w:nsid w:val="472F25FA"/>
    <w:multiLevelType w:val="multilevel"/>
    <w:tmpl w:val="472F25FA"/>
    <w:lvl w:ilvl="0" w:tentative="0">
      <w:start w:val="1"/>
      <w:numFmt w:val="decimal"/>
      <w:pStyle w:val="50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>
    <w:nsid w:val="51827CEF"/>
    <w:multiLevelType w:val="singleLevel"/>
    <w:tmpl w:val="51827CE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7978A676"/>
    <w:multiLevelType w:val="singleLevel"/>
    <w:tmpl w:val="7978A676"/>
    <w:lvl w:ilvl="0" w:tentative="0">
      <w:start w:val="1"/>
      <w:numFmt w:val="bullet"/>
      <w:pStyle w:val="1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48"/>
    <w:rsid w:val="000C1E48"/>
    <w:rsid w:val="00175500"/>
    <w:rsid w:val="001761BA"/>
    <w:rsid w:val="001D0182"/>
    <w:rsid w:val="00290E3A"/>
    <w:rsid w:val="002B34A5"/>
    <w:rsid w:val="002C7325"/>
    <w:rsid w:val="003A46E4"/>
    <w:rsid w:val="00441B96"/>
    <w:rsid w:val="0047760A"/>
    <w:rsid w:val="004A696A"/>
    <w:rsid w:val="004B7EBE"/>
    <w:rsid w:val="004D595C"/>
    <w:rsid w:val="00510E8C"/>
    <w:rsid w:val="00575EF6"/>
    <w:rsid w:val="0079201D"/>
    <w:rsid w:val="00994872"/>
    <w:rsid w:val="009A3548"/>
    <w:rsid w:val="009C7C87"/>
    <w:rsid w:val="009E2047"/>
    <w:rsid w:val="00AD09E0"/>
    <w:rsid w:val="00B4685C"/>
    <w:rsid w:val="00CC3BDD"/>
    <w:rsid w:val="00DD0E0A"/>
    <w:rsid w:val="00E14F4D"/>
    <w:rsid w:val="00EF4159"/>
    <w:rsid w:val="00FB1A25"/>
    <w:rsid w:val="00FC1735"/>
    <w:rsid w:val="00FC3172"/>
    <w:rsid w:val="023B4493"/>
    <w:rsid w:val="0B030E30"/>
    <w:rsid w:val="13C11F85"/>
    <w:rsid w:val="17FA0ED8"/>
    <w:rsid w:val="196071E6"/>
    <w:rsid w:val="209A7FBF"/>
    <w:rsid w:val="23C45B9E"/>
    <w:rsid w:val="2570067D"/>
    <w:rsid w:val="27E261BD"/>
    <w:rsid w:val="296C506D"/>
    <w:rsid w:val="2BBE5B76"/>
    <w:rsid w:val="2CA373CA"/>
    <w:rsid w:val="39137979"/>
    <w:rsid w:val="3BC40AEE"/>
    <w:rsid w:val="3CA31A0B"/>
    <w:rsid w:val="3FD10294"/>
    <w:rsid w:val="40652BAF"/>
    <w:rsid w:val="41E00C12"/>
    <w:rsid w:val="441775B1"/>
    <w:rsid w:val="464268D7"/>
    <w:rsid w:val="464811E5"/>
    <w:rsid w:val="480A199B"/>
    <w:rsid w:val="48691363"/>
    <w:rsid w:val="50BA5AFF"/>
    <w:rsid w:val="524B57B1"/>
    <w:rsid w:val="54D719E5"/>
    <w:rsid w:val="551D0D36"/>
    <w:rsid w:val="6E95544B"/>
    <w:rsid w:val="71E10669"/>
    <w:rsid w:val="733358DA"/>
    <w:rsid w:val="738133AC"/>
    <w:rsid w:val="786A1B39"/>
    <w:rsid w:val="79B56644"/>
    <w:rsid w:val="7B8232B5"/>
    <w:rsid w:val="7D06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i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4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List Bullet"/>
    <w:basedOn w:val="1"/>
    <w:qFormat/>
    <w:uiPriority w:val="0"/>
    <w:pPr>
      <w:numPr>
        <w:ilvl w:val="0"/>
        <w:numId w:val="2"/>
      </w:numPr>
    </w:p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Body Text"/>
    <w:basedOn w:val="1"/>
    <w:qFormat/>
    <w:uiPriority w:val="0"/>
    <w:pPr>
      <w:keepLines/>
      <w:spacing w:after="120"/>
      <w:ind w:left="720"/>
    </w:pPr>
  </w:style>
  <w:style w:type="paragraph" w:styleId="16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7">
    <w:name w:val="toc 5"/>
    <w:basedOn w:val="1"/>
    <w:next w:val="1"/>
    <w:autoRedefine/>
    <w:semiHidden/>
    <w:qFormat/>
    <w:uiPriority w:val="0"/>
    <w:pPr>
      <w:ind w:left="800"/>
    </w:pPr>
  </w:style>
  <w:style w:type="paragraph" w:styleId="18">
    <w:name w:val="toc 3"/>
    <w:basedOn w:val="1"/>
    <w:next w:val="1"/>
    <w:autoRedefine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19">
    <w:name w:val="toc 8"/>
    <w:basedOn w:val="1"/>
    <w:next w:val="1"/>
    <w:autoRedefine/>
    <w:semiHidden/>
    <w:qFormat/>
    <w:uiPriority w:val="0"/>
    <w:pPr>
      <w:ind w:left="1400"/>
    </w:pPr>
  </w:style>
  <w:style w:type="paragraph" w:styleId="20">
    <w:name w:val="Body Text Indent 2"/>
    <w:basedOn w:val="1"/>
    <w:qFormat/>
    <w:uiPriority w:val="0"/>
    <w:pPr>
      <w:pBdr>
        <w:top w:val="single" w:color="C0C0C0" w:sz="6" w:space="1"/>
        <w:left w:val="single" w:color="C0C0C0" w:sz="6" w:space="1"/>
        <w:bottom w:val="single" w:color="C0C0C0" w:sz="6" w:space="1"/>
        <w:right w:val="single" w:color="C0C0C0" w:sz="6" w:space="1"/>
        <w:between w:val="single" w:color="C0C0C0" w:sz="6" w:space="1"/>
      </w:pBdr>
      <w:shd w:val="pct25" w:color="FFFF00" w:fill="FFFFFF"/>
      <w:spacing w:line="1" w:lineRule="atLeast"/>
      <w:ind w:left="720"/>
    </w:pPr>
  </w:style>
  <w:style w:type="paragraph" w:styleId="2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2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4">
    <w:name w:val="toc 4"/>
    <w:basedOn w:val="1"/>
    <w:next w:val="1"/>
    <w:autoRedefine/>
    <w:semiHidden/>
    <w:qFormat/>
    <w:uiPriority w:val="0"/>
    <w:pPr>
      <w:ind w:left="600"/>
    </w:pPr>
  </w:style>
  <w:style w:type="paragraph" w:styleId="25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7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8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9">
    <w:name w:val="toc 9"/>
    <w:basedOn w:val="1"/>
    <w:next w:val="1"/>
    <w:autoRedefine/>
    <w:semiHidden/>
    <w:qFormat/>
    <w:uiPriority w:val="0"/>
    <w:pPr>
      <w:ind w:left="1600"/>
    </w:pPr>
  </w:style>
  <w:style w:type="paragraph" w:styleId="30">
    <w:name w:val="Normal (Web)"/>
    <w:basedOn w:val="1"/>
    <w:qFormat/>
    <w:uiPriority w:val="0"/>
    <w:pPr>
      <w:spacing w:beforeAutospacing="1" w:afterAutospacing="1"/>
    </w:pPr>
    <w:rPr>
      <w:sz w:val="24"/>
    </w:rPr>
  </w:style>
  <w:style w:type="paragraph" w:styleId="31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5">
    <w:name w:val="Strong"/>
    <w:qFormat/>
    <w:uiPriority w:val="0"/>
    <w:rPr>
      <w:b/>
    </w:rPr>
  </w:style>
  <w:style w:type="character" w:styleId="36">
    <w:name w:val="page number"/>
    <w:basedOn w:val="34"/>
    <w:qFormat/>
    <w:uiPriority w:val="0"/>
  </w:style>
  <w:style w:type="character" w:styleId="37">
    <w:name w:val="FollowedHyperlink"/>
    <w:qFormat/>
    <w:uiPriority w:val="0"/>
    <w:rPr>
      <w:color w:val="800080"/>
      <w:u w:val="single"/>
    </w:rPr>
  </w:style>
  <w:style w:type="character" w:styleId="38">
    <w:name w:val="Hyperlink"/>
    <w:qFormat/>
    <w:uiPriority w:val="0"/>
    <w:rPr>
      <w:color w:val="0000FF"/>
      <w:u w:val="single"/>
    </w:rPr>
  </w:style>
  <w:style w:type="character" w:styleId="39">
    <w:name w:val="HTML Code"/>
    <w:basedOn w:val="34"/>
    <w:qFormat/>
    <w:uiPriority w:val="0"/>
    <w:rPr>
      <w:rFonts w:ascii="Courier New" w:hAnsi="Courier New"/>
      <w:sz w:val="20"/>
    </w:rPr>
  </w:style>
  <w:style w:type="character" w:styleId="40">
    <w:name w:val="footnote reference"/>
    <w:semiHidden/>
    <w:qFormat/>
    <w:uiPriority w:val="0"/>
    <w:rPr>
      <w:sz w:val="20"/>
      <w:vertAlign w:val="superscript"/>
    </w:rPr>
  </w:style>
  <w:style w:type="paragraph" w:customStyle="1" w:styleId="4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42">
    <w:name w:val="Bullet1"/>
    <w:basedOn w:val="1"/>
    <w:qFormat/>
    <w:uiPriority w:val="0"/>
    <w:pPr>
      <w:ind w:left="720" w:hanging="432"/>
    </w:pPr>
  </w:style>
  <w:style w:type="paragraph" w:customStyle="1" w:styleId="43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44">
    <w:name w:val="Tabletext"/>
    <w:basedOn w:val="1"/>
    <w:qFormat/>
    <w:uiPriority w:val="0"/>
    <w:pPr>
      <w:keepLines/>
      <w:spacing w:after="120"/>
    </w:pPr>
  </w:style>
  <w:style w:type="paragraph" w:customStyle="1" w:styleId="45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6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7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8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9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50">
    <w:name w:val="Bullet"/>
    <w:basedOn w:val="1"/>
    <w:qFormat/>
    <w:uiPriority w:val="0"/>
    <w:pPr>
      <w:widowControl/>
      <w:numPr>
        <w:ilvl w:val="0"/>
        <w:numId w:val="3"/>
      </w:numPr>
      <w:spacing w:before="120" w:line="240" w:lineRule="auto"/>
      <w:ind w:right="360"/>
      <w:jc w:val="both"/>
    </w:pPr>
  </w:style>
  <w:style w:type="paragraph" w:customStyle="1" w:styleId="51">
    <w:name w:val="InfoBlue"/>
    <w:basedOn w:val="1"/>
    <w:next w:val="15"/>
    <w:autoRedefine/>
    <w:qFormat/>
    <w:uiPriority w:val="0"/>
    <w:pPr>
      <w:spacing w:after="120"/>
      <w:ind w:left="720"/>
    </w:pPr>
    <w:rPr>
      <w:i/>
      <w:color w:val="0000FF"/>
    </w:rPr>
  </w:style>
  <w:style w:type="character" w:customStyle="1" w:styleId="52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3">
    <w:name w:val="tw4winInternal"/>
    <w:qFormat/>
    <w:uiPriority w:val="0"/>
    <w:rPr>
      <w:rFonts w:ascii="Courier New" w:hAnsi="Courier New"/>
      <w:color w:val="FF0000"/>
    </w:rPr>
  </w:style>
  <w:style w:type="character" w:customStyle="1" w:styleId="54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5">
    <w:name w:val="tw4winTerm"/>
    <w:qFormat/>
    <w:uiPriority w:val="0"/>
    <w:rPr>
      <w:color w:val="0000FF"/>
    </w:rPr>
  </w:style>
  <w:style w:type="character" w:customStyle="1" w:styleId="56">
    <w:name w:val="tw4winPopup"/>
    <w:qFormat/>
    <w:uiPriority w:val="0"/>
    <w:rPr>
      <w:rFonts w:ascii="Courier New" w:hAnsi="Courier New"/>
      <w:color w:val="008000"/>
    </w:rPr>
  </w:style>
  <w:style w:type="character" w:customStyle="1" w:styleId="57">
    <w:name w:val="tw4winJump"/>
    <w:qFormat/>
    <w:uiPriority w:val="0"/>
    <w:rPr>
      <w:rFonts w:ascii="Courier New" w:hAnsi="Courier New"/>
      <w:color w:val="008080"/>
    </w:rPr>
  </w:style>
  <w:style w:type="character" w:customStyle="1" w:styleId="58">
    <w:name w:val="tw4winExternal"/>
    <w:qFormat/>
    <w:uiPriority w:val="0"/>
    <w:rPr>
      <w:rFonts w:ascii="Courier New" w:hAnsi="Courier New"/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软件架构文档.dot</Template>
  <Company>&lt;SJTU&gt;</Company>
  <Pages>13</Pages>
  <Words>5010</Words>
  <Characters>6880</Characters>
  <Lines>225</Lines>
  <Paragraphs>219</Paragraphs>
  <TotalTime>10</TotalTime>
  <ScaleCrop>false</ScaleCrop>
  <LinksUpToDate>false</LinksUpToDate>
  <CharactersWithSpaces>7216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2020-09-03T11:02:00Z</dcterms:created>
  <dc:creator>bjshen</dc:creator>
  <cp:lastModifiedBy>王诺</cp:lastModifiedBy>
  <cp:lastPrinted>2411-12-31T15:59:00Z</cp:lastPrinted>
  <dcterms:modified xsi:type="dcterms:W3CDTF">2026-07-24T02:39:39Z</dcterms:modified>
  <dc:subject>&lt;项目名称&gt;</dc:subject>
  <dc:title>软件架构文档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TemplateDocerSaveRecord">
    <vt:lpwstr>eyJoZGlkIjoiNGI3NmM0OTZlNDZkMzY5NmQzZjQ3Yjk5OGIyY2I5NmMiLCJ1c2VySWQiOiIxNjkzODI3MzU4In0=</vt:lpwstr>
  </property>
  <property fmtid="{D5CDD505-2E9C-101B-9397-08002B2CF9AE}" pid="4" name="KSOProductBuildVer">
    <vt:lpwstr>2052-12.1.0.20305</vt:lpwstr>
  </property>
  <property fmtid="{D5CDD505-2E9C-101B-9397-08002B2CF9AE}" pid="5" name="ICV">
    <vt:lpwstr>38166340027E40D6937B76E31A12F357_13</vt:lpwstr>
  </property>
</Properties>
</file>