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412A6">
      <w:pPr>
        <w:pStyle w:val="30"/>
        <w:numPr>
          <w:ilvl w:val="0"/>
          <w:numId w:val="1"/>
        </w:numPr>
        <w:ind w:left="720" w:leftChars="0" w:hanging="720" w:firstLineChars="0"/>
        <w:jc w:val="left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用</w:t>
      </w:r>
      <w:r>
        <w:rPr>
          <w:rFonts w:hint="eastAsia"/>
          <w:b/>
          <w:bCs/>
        </w:rPr>
        <w:t>例建模：</w:t>
      </w:r>
      <w:r>
        <w:rPr>
          <w:b/>
          <w:bCs/>
        </w:rPr>
        <w:t xml:space="preserve"> </w:t>
      </w:r>
    </w:p>
    <w:p w14:paraId="44539116">
      <w:pPr>
        <w:numPr>
          <w:ilvl w:val="0"/>
          <w:numId w:val="2"/>
        </w:numPr>
        <w:ind w:left="840" w:leftChars="0" w:hanging="420" w:firstLine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Usecase用例图：</w:t>
      </w:r>
      <w:r>
        <w:rPr>
          <w:b/>
          <w:bCs/>
        </w:rPr>
        <w:br w:type="textWrapping"/>
      </w:r>
      <w:r>
        <w:drawing>
          <wp:inline distT="0" distB="0" distL="0" distR="0">
            <wp:extent cx="5274310" cy="6889750"/>
            <wp:effectExtent l="0" t="0" r="0" b="6350"/>
            <wp:docPr id="843978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869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97A21F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“查看论文详情”的规约：</w:t>
      </w:r>
    </w:p>
    <w:p w14:paraId="7D96E9AB">
      <w:pPr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b/>
          <w:bCs/>
        </w:rPr>
        <w:t>基本流 (Basic Flow)</w:t>
      </w:r>
    </w:p>
    <w:p w14:paraId="53E7AFD6">
      <w:pPr>
        <w:numPr>
          <w:ilvl w:val="0"/>
          <w:numId w:val="4"/>
        </w:numPr>
        <w:ind w:left="1140" w:leftChars="0"/>
        <w:rPr>
          <w:rFonts w:hint="eastAsia"/>
        </w:rPr>
      </w:pPr>
      <w:r>
        <w:rPr>
          <w:b/>
          <w:bCs/>
        </w:rPr>
        <w:t>用户发起查看请求。</w:t>
      </w:r>
      <w:r>
        <w:t> 用例开始于论文阅读用户在论文列表页面（或搜索结果页面）中，点击某篇论文的标题或"查看详情"图形按钮。系统接收到该论文的唯一标识符（ID）。</w:t>
      </w:r>
    </w:p>
    <w:p w14:paraId="73CA06AF">
      <w:pPr>
        <w:numPr>
          <w:ilvl w:val="0"/>
          <w:numId w:val="4"/>
        </w:numPr>
        <w:ind w:left="1140" w:leftChars="0"/>
        <w:rPr>
          <w:rFonts w:hint="eastAsia"/>
        </w:rPr>
      </w:pPr>
      <w:r>
        <w:rPr>
          <w:b/>
          <w:bCs/>
        </w:rPr>
        <w:t>系统验证论文有效性。</w:t>
      </w:r>
      <w:r>
        <w:t>系统根据论文ID，优先从缓存中查找该论文的记录；若缓存未命中，则查询数据库，检查该论文是否存在且状态为“正常”。若论文有效，系统进入下一步加载流程。</w:t>
      </w:r>
    </w:p>
    <w:p w14:paraId="57BD013F">
      <w:pPr>
        <w:numPr>
          <w:ilvl w:val="0"/>
          <w:numId w:val="4"/>
        </w:numPr>
        <w:ind w:left="1140" w:leftChars="0"/>
        <w:rPr>
          <w:rFonts w:hint="eastAsia"/>
        </w:rPr>
      </w:pPr>
      <w:r>
        <w:rPr>
          <w:b/>
          <w:bCs/>
        </w:rPr>
        <w:t>系统加载基础元数据。</w:t>
      </w:r>
      <w:r>
        <w:t> 系统从数据库中检索该论文的基础信息，包括标题、作者列表、发表时间、学科分类、原始摘要以及当前用户对该论文的阅读状态（未读/已读/部分阅读）。基础数据加载完成后，系统立即启动后续扩展信息的并行获取。</w:t>
      </w:r>
    </w:p>
    <w:p w14:paraId="0484ADA5">
      <w:pPr>
        <w:numPr>
          <w:ilvl w:val="0"/>
          <w:numId w:val="4"/>
        </w:numPr>
        <w:ind w:left="1140" w:leftChars="0"/>
        <w:rPr>
          <w:rFonts w:hint="eastAsia"/>
        </w:rPr>
      </w:pPr>
      <w:r>
        <w:rPr>
          <w:b/>
          <w:bCs/>
        </w:rPr>
        <w:t>系统并行加载扩展信息视图。</w:t>
      </w:r>
      <w:r>
        <w:t> 系统启动多个后台线程，并行调用内部服务和外部AI接口，获取该论文的结构化章节内容、AI智能总结、关联论文图谱以及用户之前保存的笔记和收藏状态。各扩展模块相互独立，任一模块的加载失败均不影响其他模块的数据返回。</w:t>
      </w:r>
    </w:p>
    <w:p w14:paraId="56CB7811">
      <w:pPr>
        <w:numPr>
          <w:ilvl w:val="0"/>
          <w:numId w:val="4"/>
        </w:numPr>
        <w:ind w:left="1140" w:leftChars="0"/>
        <w:rPr>
          <w:rFonts w:hint="eastAsia"/>
        </w:rPr>
      </w:pPr>
      <w:r>
        <w:rPr>
          <w:b/>
          <w:bCs/>
        </w:rPr>
        <w:t>系统渲染并呈现完整详情页。</w:t>
      </w:r>
      <w:r>
        <w:t> 系统在3秒内完成页面组装，向用户浏览器返回完整的"论文详情页"。页面顶部展示基础元数据和状态角标；主体区域展示可切换阅读模式的结构化内容；右侧边栏或底部区域展示AI总结和关联图谱；工具栏显示收藏、笔记、对比等操作入口。</w:t>
      </w:r>
    </w:p>
    <w:p w14:paraId="32292277">
      <w:pPr>
        <w:numPr>
          <w:ilvl w:val="0"/>
          <w:numId w:val="4"/>
        </w:numPr>
        <w:ind w:left="1140" w:leftChars="0"/>
        <w:rPr>
          <w:rFonts w:hint="eastAsia"/>
        </w:rPr>
      </w:pPr>
      <w:r>
        <w:rPr>
          <w:b/>
          <w:bCs/>
        </w:rPr>
        <w:t>用户浏览内容并执行交互。</w:t>
      </w:r>
      <w:r>
        <w:t> 用户滚动页面阅读论文主体，或点击侧边栏切换查看图谱、总结等不同选项卡。在此期间，系统通过前端心跳或日志记录用户的行为轨迹（如停留时长、滚动深度），为后续个性化推荐积累数据。</w:t>
      </w:r>
    </w:p>
    <w:p w14:paraId="53A93D5F">
      <w:pPr>
        <w:numPr>
          <w:ilvl w:val="0"/>
          <w:numId w:val="4"/>
        </w:numPr>
        <w:ind w:left="1140" w:leftChars="0"/>
        <w:rPr>
          <w:rFonts w:hint="eastAsia"/>
        </w:rPr>
      </w:pPr>
      <w:r>
        <w:rPr>
          <w:b/>
          <w:bCs/>
        </w:rPr>
        <w:t>系统记录阅读历史。</w:t>
      </w:r>
      <w:r>
        <w:t> 当用户持续浏览超过10秒，或主动点击页面中的任意链接/按钮时，系统异步向后端发送阅读记录请求。系统将该论文加入当前用户的"阅读历史"列表，并更新论文列表页中对应的"状态角标"为"已读"。</w:t>
      </w:r>
    </w:p>
    <w:p w14:paraId="17E3C97B">
      <w:pPr>
        <w:numPr>
          <w:ilvl w:val="0"/>
          <w:numId w:val="4"/>
        </w:numPr>
        <w:ind w:left="1140" w:leftChars="0"/>
        <w:rPr>
          <w:rFonts w:hint="eastAsia"/>
        </w:rPr>
      </w:pPr>
      <w:r>
        <w:rPr>
          <w:b/>
          <w:bCs/>
        </w:rPr>
        <w:t>用户结束浏览。</w:t>
      </w:r>
      <w:r>
        <w:t> 用户点击浏览器"返回"按钮、关闭详情页标签，或点击导航栏跳转至其他功能模块。系统捕获退出事件，保存本次浏览的最终进度，用例正常结束。</w:t>
      </w:r>
    </w:p>
    <w:p w14:paraId="13C6A465">
      <w:pPr>
        <w:rPr>
          <w:rFonts w:hint="eastAsia"/>
        </w:rPr>
      </w:pPr>
    </w:p>
    <w:p w14:paraId="39DA0BF4">
      <w:pPr>
        <w:numPr>
          <w:ilvl w:val="0"/>
          <w:numId w:val="3"/>
        </w:numPr>
        <w:ind w:left="845" w:leftChars="0" w:hanging="425" w:firstLineChars="0"/>
        <w:rPr>
          <w:rFonts w:hint="eastAsia"/>
          <w:b/>
          <w:bCs/>
        </w:rPr>
      </w:pPr>
      <w:r>
        <w:rPr>
          <w:b/>
          <w:bCs/>
        </w:rPr>
        <w:t>备选流 (Alternative Flows)</w:t>
      </w:r>
    </w:p>
    <w:p w14:paraId="07BD6DAB">
      <w:pPr>
        <w:ind w:left="420" w:leftChars="0" w:firstLine="420" w:firstLineChars="0"/>
        <w:rPr>
          <w:rFonts w:hint="eastAsia"/>
          <w:b/>
          <w:bCs/>
        </w:rPr>
      </w:pPr>
      <w:r>
        <w:rPr>
          <w:b/>
          <w:bCs/>
        </w:rPr>
        <w:t>A1. 论文不存在或已被删除</w:t>
      </w:r>
    </w:p>
    <w:p w14:paraId="5606D552">
      <w:pPr>
        <w:ind w:left="420" w:leftChars="0" w:firstLine="420" w:firstLineChars="0"/>
        <w:rPr>
          <w:rFonts w:hint="eastAsia"/>
        </w:rPr>
      </w:pPr>
      <w:r>
        <w:t>（发生于基本流步骤2）</w:t>
      </w:r>
    </w:p>
    <w:p w14:paraId="7C6166B6">
      <w:pPr>
        <w:numPr>
          <w:ilvl w:val="0"/>
          <w:numId w:val="5"/>
        </w:numPr>
        <w:ind w:left="1560" w:leftChars="0"/>
        <w:rPr>
          <w:rFonts w:hint="eastAsia"/>
        </w:rPr>
      </w:pPr>
      <w:r>
        <w:t>系统检测到论文ID无效或状态为“已删除”。</w:t>
      </w:r>
    </w:p>
    <w:p w14:paraId="3C81F5E3">
      <w:pPr>
        <w:numPr>
          <w:ilvl w:val="0"/>
          <w:numId w:val="5"/>
        </w:numPr>
        <w:ind w:left="1560" w:leftChars="0"/>
        <w:rPr>
          <w:rFonts w:hint="eastAsia"/>
        </w:rPr>
      </w:pPr>
      <w:r>
        <w:t>系统弹出提示：“该论文不存在或已被移除”。</w:t>
      </w:r>
    </w:p>
    <w:p w14:paraId="5C2CFB2C">
      <w:pPr>
        <w:numPr>
          <w:ilvl w:val="0"/>
          <w:numId w:val="5"/>
        </w:numPr>
        <w:ind w:left="1560" w:leftChars="0"/>
        <w:rPr>
          <w:rFonts w:hint="eastAsia"/>
        </w:rPr>
      </w:pPr>
      <w:r>
        <w:t>系统自动返回上一级列表页面，用例终止。</w:t>
      </w:r>
    </w:p>
    <w:p w14:paraId="67893966">
      <w:pPr>
        <w:ind w:left="420" w:leftChars="0" w:firstLine="420" w:firstLineChars="0"/>
        <w:rPr>
          <w:rFonts w:hint="eastAsia"/>
          <w:b/>
          <w:bCs/>
        </w:rPr>
      </w:pPr>
      <w:r>
        <w:rPr>
          <w:b/>
          <w:bCs/>
        </w:rPr>
        <w:t>A2. 加载超时（网络或服务器延迟）</w:t>
      </w:r>
    </w:p>
    <w:p w14:paraId="3654F923">
      <w:pPr>
        <w:ind w:left="420" w:leftChars="0" w:firstLine="420" w:firstLineChars="0"/>
        <w:rPr>
          <w:rFonts w:hint="eastAsia"/>
        </w:rPr>
      </w:pPr>
      <w:r>
        <w:t>（发生于基本流步骤</w:t>
      </w:r>
      <w:r>
        <w:rPr>
          <w:rFonts w:hint="eastAsia"/>
        </w:rPr>
        <w:t>4</w:t>
      </w:r>
      <w:r>
        <w:t>）</w:t>
      </w:r>
    </w:p>
    <w:p w14:paraId="027C3EE5">
      <w:pPr>
        <w:numPr>
          <w:ilvl w:val="0"/>
          <w:numId w:val="6"/>
        </w:numPr>
        <w:ind w:left="1560" w:leftChars="0"/>
        <w:rPr>
          <w:rFonts w:hint="eastAsia"/>
        </w:rPr>
      </w:pPr>
      <w:r>
        <w:t>系统检测到扩展信息加载超过5秒阈值。</w:t>
      </w:r>
    </w:p>
    <w:p w14:paraId="15C8D86E">
      <w:pPr>
        <w:numPr>
          <w:ilvl w:val="0"/>
          <w:numId w:val="6"/>
        </w:numPr>
        <w:ind w:left="1560" w:leftChars="0"/>
        <w:rPr>
          <w:rFonts w:hint="eastAsia"/>
        </w:rPr>
      </w:pPr>
      <w:r>
        <w:t>系统显示加载动画提示：“内容加载中，请稍候...”，并自动重试最多2次。</w:t>
      </w:r>
    </w:p>
    <w:p w14:paraId="21F3FFD9">
      <w:pPr>
        <w:numPr>
          <w:ilvl w:val="0"/>
          <w:numId w:val="6"/>
        </w:numPr>
        <w:ind w:left="1560" w:leftChars="0"/>
        <w:rPr>
          <w:rFonts w:hint="eastAsia"/>
        </w:rPr>
      </w:pPr>
      <w:r>
        <w:t>成功 → 跳回基本流步骤</w:t>
      </w:r>
      <w:r>
        <w:rPr>
          <w:rFonts w:hint="eastAsia"/>
        </w:rPr>
        <w:t>5</w:t>
      </w:r>
      <w:r>
        <w:t>。</w:t>
      </w:r>
    </w:p>
    <w:p w14:paraId="5BA292C2">
      <w:pPr>
        <w:numPr>
          <w:ilvl w:val="0"/>
          <w:numId w:val="6"/>
        </w:numPr>
        <w:ind w:left="1560" w:leftChars="0"/>
        <w:rPr>
          <w:rFonts w:hint="eastAsia"/>
        </w:rPr>
      </w:pPr>
      <w:r>
        <w:t>失败 → 显示“加载失败，请检查网络”，并提供 “重新加载” 按钮。用户点击则重试，否则用例可终止。</w:t>
      </w:r>
    </w:p>
    <w:p w14:paraId="54E58CB3">
      <w:pPr>
        <w:ind w:left="420" w:leftChars="0" w:firstLine="420" w:firstLineChars="0"/>
        <w:rPr>
          <w:rFonts w:hint="eastAsia"/>
          <w:b/>
          <w:bCs/>
        </w:rPr>
      </w:pPr>
      <w:r>
        <w:rPr>
          <w:b/>
          <w:bCs/>
        </w:rPr>
        <w:t>A3. AI智能总结不可用</w:t>
      </w:r>
    </w:p>
    <w:p w14:paraId="349C0E68">
      <w:pPr>
        <w:ind w:left="420" w:leftChars="0" w:firstLine="420" w:firstLineChars="0"/>
        <w:rPr>
          <w:rFonts w:hint="eastAsia"/>
        </w:rPr>
      </w:pPr>
      <w:r>
        <w:t>（发生于基本流步骤4）</w:t>
      </w:r>
    </w:p>
    <w:p w14:paraId="02CC75FC">
      <w:pPr>
        <w:numPr>
          <w:ilvl w:val="0"/>
          <w:numId w:val="7"/>
        </w:numPr>
        <w:ind w:left="1560" w:leftChars="0"/>
        <w:rPr>
          <w:rFonts w:hint="eastAsia"/>
        </w:rPr>
      </w:pPr>
      <w:r>
        <w:t>系统检测到该论文尚未生成AI总结，或总结服务暂时繁忙。</w:t>
      </w:r>
    </w:p>
    <w:p w14:paraId="57D915C4">
      <w:pPr>
        <w:numPr>
          <w:ilvl w:val="0"/>
          <w:numId w:val="7"/>
        </w:numPr>
        <w:ind w:left="1560" w:leftChars="0"/>
        <w:rPr>
          <w:rFonts w:hint="eastAsia"/>
        </w:rPr>
      </w:pPr>
      <w:r>
        <w:t>不阻塞主流程：在AI总结区域显示占位符：“智能总结生成中，请稍后刷新”。</w:t>
      </w:r>
    </w:p>
    <w:p w14:paraId="5DE23128">
      <w:pPr>
        <w:numPr>
          <w:ilvl w:val="0"/>
          <w:numId w:val="7"/>
        </w:numPr>
        <w:ind w:left="1560" w:leftChars="0"/>
        <w:rPr>
          <w:rFonts w:hint="eastAsia"/>
        </w:rPr>
      </w:pPr>
      <w:r>
        <w:t>页面其余所有信息（主体、图谱）正常显示，用例继续执行。</w:t>
      </w:r>
    </w:p>
    <w:p w14:paraId="30518D4E">
      <w:pPr>
        <w:ind w:left="420" w:leftChars="0" w:firstLine="420" w:firstLineChars="0"/>
        <w:rPr>
          <w:rFonts w:hint="eastAsia"/>
          <w:b/>
          <w:bCs/>
        </w:rPr>
      </w:pPr>
      <w:r>
        <w:rPr>
          <w:b/>
          <w:bCs/>
        </w:rPr>
        <w:t>A4. 用户中途强制退出</w:t>
      </w:r>
    </w:p>
    <w:p w14:paraId="1AA666DB">
      <w:pPr>
        <w:ind w:left="420" w:leftChars="0" w:firstLine="420" w:firstLineChars="0"/>
        <w:rPr>
          <w:rFonts w:hint="eastAsia"/>
        </w:rPr>
      </w:pPr>
      <w:r>
        <w:t>（发生于基本流步骤5-6任意时刻）</w:t>
      </w:r>
    </w:p>
    <w:p w14:paraId="1EFDC48B">
      <w:pPr>
        <w:numPr>
          <w:ilvl w:val="0"/>
          <w:numId w:val="8"/>
        </w:numPr>
        <w:ind w:left="1560" w:leftChars="0"/>
        <w:rPr>
          <w:rFonts w:hint="eastAsia"/>
        </w:rPr>
      </w:pPr>
      <w:r>
        <w:t>用户点击浏览器后退、关闭标签页或跳转至其他功能。</w:t>
      </w:r>
    </w:p>
    <w:p w14:paraId="3EBD3F0E">
      <w:pPr>
        <w:numPr>
          <w:ilvl w:val="0"/>
          <w:numId w:val="8"/>
        </w:numPr>
        <w:ind w:left="1560" w:leftChars="0"/>
        <w:rPr>
          <w:rFonts w:hint="eastAsia"/>
        </w:rPr>
      </w:pPr>
      <w:r>
        <w:t>系统捕获页面卸载事件，立即保存当前阅读进度（若阅读时长≥5秒则记为“部分已读”）。</w:t>
      </w:r>
    </w:p>
    <w:p w14:paraId="6ACC46BE">
      <w:pPr>
        <w:numPr>
          <w:ilvl w:val="0"/>
          <w:numId w:val="8"/>
        </w:numPr>
        <w:ind w:left="1560" w:leftChars="0"/>
        <w:rPr>
          <w:rFonts w:hint="eastAsia"/>
          <w:b/>
          <w:bCs/>
        </w:rPr>
      </w:pPr>
      <w:r>
        <w:t>用例终止。</w:t>
      </w:r>
    </w:p>
    <w:p w14:paraId="31D3EB76">
      <w:pPr>
        <w:numPr>
          <w:ilvl w:val="0"/>
          <w:numId w:val="3"/>
        </w:numPr>
        <w:ind w:left="84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查看论文详情的活动图：</w:t>
      </w:r>
    </w:p>
    <w:p w14:paraId="6FE9149B">
      <w:pPr>
        <w:pStyle w:val="30"/>
        <w:numPr>
          <w:ilvl w:val="0"/>
          <w:numId w:val="0"/>
        </w:numPr>
        <w:ind w:leftChars="0" w:firstLine="420" w:firstLineChars="0"/>
        <w:jc w:val="left"/>
        <w:rPr>
          <w:rFonts w:hint="eastAsia"/>
          <w:b/>
          <w:bCs/>
        </w:rPr>
      </w:pPr>
      <w:r>
        <w:drawing>
          <wp:inline distT="0" distB="0" distL="0" distR="0">
            <wp:extent cx="4956810" cy="6412865"/>
            <wp:effectExtent l="0" t="0" r="15240" b="6985"/>
            <wp:docPr id="553066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6692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64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C40B">
      <w:pPr>
        <w:pStyle w:val="30"/>
        <w:numPr>
          <w:ilvl w:val="0"/>
          <w:numId w:val="1"/>
        </w:numPr>
        <w:ind w:left="720" w:leftChars="0" w:hanging="720" w:firstLine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概念类图：（共4张）</w:t>
      </w:r>
    </w:p>
    <w:p w14:paraId="57160911">
      <w:pPr>
        <w:rPr>
          <w:rFonts w:hint="eastAsia"/>
          <w:b/>
          <w:bCs/>
        </w:rPr>
      </w:pPr>
    </w:p>
    <w:p w14:paraId="2066C995">
      <w:pPr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2466975" cy="4582160"/>
            <wp:effectExtent l="0" t="0" r="9525" b="8890"/>
            <wp:docPr id="12087304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30478" name="图片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drawing>
          <wp:inline distT="0" distB="0" distL="0" distR="0">
            <wp:extent cx="2722880" cy="4194175"/>
            <wp:effectExtent l="0" t="0" r="1270" b="15875"/>
            <wp:docPr id="13376361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36172" name="图片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drawing>
          <wp:inline distT="0" distB="0" distL="0" distR="0">
            <wp:extent cx="4860290" cy="3775075"/>
            <wp:effectExtent l="0" t="0" r="16510" b="15875"/>
            <wp:docPr id="19153888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8847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5622" cy="379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drawing>
          <wp:inline distT="0" distB="0" distL="0" distR="0">
            <wp:extent cx="5478145" cy="3875405"/>
            <wp:effectExtent l="0" t="0" r="8255" b="10795"/>
            <wp:docPr id="11372400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40035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8085" cy="390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9C39C6"/>
    <w:multiLevelType w:val="singleLevel"/>
    <w:tmpl w:val="FD9C39C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1967DF96"/>
    <w:multiLevelType w:val="singleLevel"/>
    <w:tmpl w:val="1967DF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2F14942"/>
    <w:multiLevelType w:val="multilevel"/>
    <w:tmpl w:val="32F149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447D40E8"/>
    <w:multiLevelType w:val="multilevel"/>
    <w:tmpl w:val="447D40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F2F7951"/>
    <w:multiLevelType w:val="multilevel"/>
    <w:tmpl w:val="4F2F79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68409D0"/>
    <w:multiLevelType w:val="multilevel"/>
    <w:tmpl w:val="768409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8F9284B"/>
    <w:multiLevelType w:val="multilevel"/>
    <w:tmpl w:val="78F928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F8B5058"/>
    <w:multiLevelType w:val="multilevel"/>
    <w:tmpl w:val="7F8B50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05D"/>
    <w:rsid w:val="0008705D"/>
    <w:rsid w:val="00360366"/>
    <w:rsid w:val="00372F5F"/>
    <w:rsid w:val="0038436F"/>
    <w:rsid w:val="00473ACC"/>
    <w:rsid w:val="00540350"/>
    <w:rsid w:val="0054373E"/>
    <w:rsid w:val="0063393F"/>
    <w:rsid w:val="006644B3"/>
    <w:rsid w:val="00700178"/>
    <w:rsid w:val="00725FC5"/>
    <w:rsid w:val="00872403"/>
    <w:rsid w:val="00A11E17"/>
    <w:rsid w:val="00A51498"/>
    <w:rsid w:val="00A9686F"/>
    <w:rsid w:val="00DB2F15"/>
    <w:rsid w:val="00E03FA7"/>
    <w:rsid w:val="00E25DE7"/>
    <w:rsid w:val="00E75695"/>
    <w:rsid w:val="00EC0782"/>
    <w:rsid w:val="109C7F8D"/>
    <w:rsid w:val="178072B9"/>
    <w:rsid w:val="26BB2517"/>
    <w:rsid w:val="4711632C"/>
    <w:rsid w:val="770D709B"/>
    <w:rsid w:val="77A67F47"/>
    <w:rsid w:val="78E1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1249</Words>
  <Characters>1302</Characters>
  <Lines>33</Lines>
  <Paragraphs>37</Paragraphs>
  <TotalTime>0</TotalTime>
  <ScaleCrop>false</ScaleCrop>
  <LinksUpToDate>false</LinksUpToDate>
  <CharactersWithSpaces>1324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2026-07-10T07:19:00Z</dcterms:created>
  <dc:creator>亚堃 陆</dc:creator>
  <cp:lastModifiedBy>王诺</cp:lastModifiedBy>
  <dcterms:modified xsi:type="dcterms:W3CDTF">2026-07-24T03:08:08Z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eyJoZGlkIjoiNGI3NmM0OTZlNDZkMzY5NmQzZjQ3Yjk5OGIyY2I5NmMiLCJ1c2VySWQiOiIxNjkzODI3MzU4In0=</vt:lpwstr>
  </property>
  <property fmtid="{D5CDD505-2E9C-101B-9397-08002B2CF9AE}" pid="3" name="KSOProductBuildVer">
    <vt:lpwstr>2052-12.1.0.20305</vt:lpwstr>
  </property>
  <property fmtid="{D5CDD505-2E9C-101B-9397-08002B2CF9AE}" pid="4" name="ICV">
    <vt:lpwstr>A2BE9A9CED5F4C05AC4FBD59937FD54D_13</vt:lpwstr>
  </property>
</Properties>
</file>