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720" w:after="680"/>
        <w:jc w:val="center"/>
      </w:pPr>
      <w:r>
        <w:drawing>
          <wp:inline xmlns:a="http://schemas.openxmlformats.org/drawingml/2006/main" xmlns:pic="http://schemas.openxmlformats.org/drawingml/2006/picture">
            <wp:extent cx="2011680" cy="399542"/>
            <wp:docPr id="1" name="Picture 1" descr="紫都 ZIDU 品牌标志" title="ZIDU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d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99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80"/>
        <w:jc w:val="center"/>
      </w:pPr>
      <w:r>
        <w:rPr>
          <w:rFonts w:ascii="Arial Unicode MS" w:hAnsi="Arial Unicode MS" w:eastAsia="Arial Unicode MS" w:cs="Arial Unicode MS"/>
          <w:b/>
          <w:color w:val="5C4B73"/>
          <w:sz w:val="20"/>
        </w:rPr>
        <w:t>ZIDU BUSINESS SYSTEM</w:t>
      </w:r>
    </w:p>
    <w:p>
      <w:pPr>
        <w:widowControl/>
        <w:spacing w:after="180"/>
        <w:jc w:val="center"/>
      </w:pPr>
      <w:r>
        <w:rPr>
          <w:rFonts w:ascii="Arial Unicode MS" w:hAnsi="Arial Unicode MS" w:eastAsia="Arial Unicode MS" w:cs="Arial Unicode MS"/>
          <w:b/>
          <w:color w:val="2F2A3A"/>
          <w:sz w:val="56"/>
        </w:rPr>
        <w:t>紫都业务系统操作手册</w:t>
      </w:r>
    </w:p>
    <w:p>
      <w:pPr>
        <w:widowControl/>
        <w:spacing w:after="480"/>
        <w:jc w:val="center"/>
      </w:pPr>
      <w:r>
        <w:rPr>
          <w:rFonts w:ascii="Arial Unicode MS" w:hAnsi="Arial Unicode MS" w:eastAsia="Arial Unicode MS" w:cs="Arial Unicode MS"/>
          <w:color w:val="756F7A"/>
          <w:sz w:val="26"/>
        </w:rPr>
        <w:t>网页后台 · 销售微信小程序 · Supabase 云端数据库</w:t>
      </w:r>
    </w:p>
    <w:p>
      <w:pPr>
        <w:spacing w:before="400" w:after="840"/>
        <w:ind w:left="1008" w:right="1008"/>
        <w:jc w:val="center"/>
        <w:shd w:fill="F4F1F7"/>
        <w:widowControl/>
        <w:pBdr>
          <w:left w:val="single" w:sz="18" w:space="8" w:color="5C4B73"/>
        </w:pBdr>
      </w:pPr>
      <w:r>
        <w:rPr>
          <w:rFonts w:ascii="Arial Unicode MS" w:hAnsi="Arial Unicode MS" w:eastAsia="Arial Unicode MS" w:cs="Arial Unicode MS"/>
          <w:color w:val="2F2A3A"/>
          <w:sz w:val="22"/>
        </w:rPr>
        <w:t>适用于销售下单、客户管理、收款、售后、发货、库存、批次、采购、财务报表与系统管理。</w:t>
      </w:r>
    </w:p>
    <w:p>
      <w:pPr>
        <w:widowControl/>
        <w:spacing w:after="100"/>
        <w:jc w:val="center"/>
      </w:pPr>
      <w:r>
        <w:rPr>
          <w:rFonts w:ascii="Arial Unicode MS" w:hAnsi="Arial Unicode MS" w:eastAsia="Arial Unicode MS" w:cs="Arial Unicode MS"/>
          <w:b/>
          <w:color w:val="5C4B73"/>
          <w:sz w:val="21"/>
        </w:rPr>
        <w:t>版本 1.0  ·  2026 年 7 月 15 日</w:t>
      </w:r>
    </w:p>
    <w:p>
      <w:pPr>
        <w:widowControl/>
        <w:jc w:val="center"/>
      </w:pPr>
      <w:r>
        <w:rPr>
          <w:rFonts w:ascii="Arial Unicode MS" w:hAnsi="Arial Unicode MS" w:eastAsia="Arial Unicode MS" w:cs="Arial Unicode MS"/>
          <w:color w:val="756F7A"/>
          <w:sz w:val="19"/>
        </w:rPr>
        <w:t>内部运营文件</w:t>
      </w:r>
    </w:p>
    <w:p>
      <w:pPr>
        <w:widowControl/>
      </w:pPr>
      <w:r>
        <w:br w:type="page"/>
      </w:r>
    </w:p>
    <w:p>
      <w:pPr>
        <w:pStyle w:val="Heading1"/>
        <w:widowControl/>
        <w:spacing w:before="0"/>
      </w:pPr>
      <w:r>
        <w:t>使用前必读</w:t>
      </w:r>
    </w:p>
    <w:p>
      <w:pPr>
        <w:shd w:fill="FFF7E7"/>
        <w:widowControl/>
        <w:pBdr>
          <w:left w:val="single" w:sz="18" w:space="8" w:color="F3BD5B"/>
        </w:pBdr>
        <w:spacing w:before="40" w:after="240"/>
        <w:ind w:left="216" w:right="216"/>
      </w:pPr>
      <w:r>
        <w:rPr>
          <w:rFonts w:ascii="Arial Unicode MS" w:hAnsi="Arial Unicode MS" w:eastAsia="Arial Unicode MS" w:cs="Arial Unicode MS"/>
          <w:b/>
          <w:color w:val="2F2A3A"/>
          <w:sz w:val="22"/>
        </w:rPr>
        <w:t>最重要规则：已收款订单退货必须走售后。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销售发起工单时库存不变；仓库确认实物可入库时自动恢复库存；财务退款不再动库存。</w:t>
      </w:r>
    </w:p>
    <w:p>
      <w:pPr>
        <w:pStyle w:val="Heading2"/>
        <w:widowControl/>
      </w:pPr>
      <w:r>
        <w:t>常见场景速查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color="DDD5E4"/>
          <w:left w:val="single" w:sz="6" w:color="DDD5E4"/>
          <w:bottom w:val="single" w:sz="6" w:color="DDD5E4"/>
          <w:right w:val="single" w:sz="6" w:color="DDD5E4"/>
          <w:insideH w:val="single" w:sz="6" w:color="DDD5E4"/>
          <w:insideV w:val="single" w:sz="6" w:color="DDD5E4"/>
        </w:tblBorders>
      </w:tblPr>
      <w:tblGrid>
        <w:gridCol w:w="1650"/>
        <w:gridCol w:w="2550"/>
        <w:gridCol w:w="2700"/>
        <w:gridCol w:w="2460"/>
      </w:tblGrid>
      <w:tr>
        <w:trPr>
          <w:tblHeader w:val="true"/>
        </w:trPr>
        <w:tc>
          <w:tcPr>
            <w:tcW w:type="dxa" w:w="1650"/>
            <w:vAlign w:val="center"/>
            <w:shd w:fill="EEEAF3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2F2A3A"/>
                <w:sz w:val="19"/>
              </w:rPr>
              <w:t>场景</w:t>
            </w:r>
          </w:p>
        </w:tc>
        <w:tc>
          <w:tcPr>
            <w:tcW w:type="dxa" w:w="2550"/>
            <w:vAlign w:val="center"/>
            <w:shd w:fill="EEEAF3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2F2A3A"/>
                <w:sz w:val="19"/>
              </w:rPr>
              <w:t>正确入口</w:t>
            </w:r>
          </w:p>
        </w:tc>
        <w:tc>
          <w:tcPr>
            <w:tcW w:type="dxa" w:w="2700"/>
            <w:vAlign w:val="center"/>
            <w:shd w:fill="EEEAF3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2F2A3A"/>
                <w:sz w:val="19"/>
              </w:rPr>
              <w:t>库存变化</w:t>
            </w:r>
          </w:p>
        </w:tc>
        <w:tc>
          <w:tcPr>
            <w:tcW w:type="dxa" w:w="2460"/>
            <w:vAlign w:val="center"/>
            <w:shd w:fill="EEEAF3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2F2A3A"/>
                <w:sz w:val="19"/>
              </w:rPr>
              <w:t>资金变化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未收款误下单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取消订单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取消成功时自动恢复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无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已收款退货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售后 → 退货退款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仓库验货后决定是否恢复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财务记录负数退款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商品不退，只退钱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售后 → 仅退款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不变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财务记录负数退款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已发货但未收款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未收款，请发货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发货时不重复扣减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仍显示未收款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收货录错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采购 → 入库记录 → 撤销收货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整批未使用时同步回退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不涉及销售收款</w:t>
            </w:r>
          </w:p>
        </w:tc>
      </w:tr>
    </w:tbl>
    <w:p>
      <w:pPr>
        <w:pStyle w:val="Heading2"/>
        <w:widowControl/>
      </w:pPr>
      <w:r>
        <w:t>已收款退货的四步闭环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销售或管理员发起“退货退款”，选择商品和数量；此时只生成售后工单。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仓库收到实物并验货：可再次销售则确认入库，破损或污染则不入库。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系统在仓库确认入库时自动恢复对应库存，并记录“售后退回”入库流水。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财务按售后固定金额退款，系统写负数资金流水并更新订单金额。</w:t>
      </w:r>
    </w:p>
    <w:p>
      <w:pPr>
        <w:pStyle w:val="Heading2"/>
        <w:widowControl/>
      </w:pPr>
      <w:r>
        <w:t>手册目录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color="DDD5E4"/>
          <w:left w:val="single" w:sz="6" w:color="DDD5E4"/>
          <w:bottom w:val="single" w:sz="6" w:color="DDD5E4"/>
          <w:right w:val="single" w:sz="6" w:color="DDD5E4"/>
          <w:insideH w:val="single" w:sz="6" w:color="DDD5E4"/>
          <w:insideV w:val="single" w:sz="6" w:color="DDD5E4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1. 系统之间的关系</w:t>
            </w:r>
          </w:p>
        </w:tc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2. 角色与职责</w:t>
            </w:r>
          </w:p>
        </w:tc>
      </w:tr>
      <w:tr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3. 正常订单流程</w:t>
            </w:r>
          </w:p>
        </w:tc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4. 订单下错与取消</w:t>
            </w:r>
          </w:p>
        </w:tc>
      </w:tr>
      <w:tr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5. 退货退款流程</w:t>
            </w:r>
          </w:p>
        </w:tc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6. 仅退款流程</w:t>
            </w:r>
          </w:p>
        </w:tc>
      </w:tr>
      <w:tr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7. 库存操作</w:t>
            </w:r>
          </w:p>
        </w:tc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8. 采购与入库</w:t>
            </w:r>
          </w:p>
        </w:tc>
      </w:tr>
      <w:tr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9. 财务核对</w:t>
            </w:r>
          </w:p>
        </w:tc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10. 上线前数据库更新</w:t>
            </w:r>
          </w:p>
        </w:tc>
      </w:tr>
      <w:tr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11. 安全与备份</w:t>
            </w:r>
          </w:p>
        </w:tc>
        <w:tc>
          <w:tcPr>
            <w:tcW w:type="dxa" w:w="4680"/>
            <w:shd w:fill="FAF8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12. 故障处理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  <w:spacing w:before="0"/>
      </w:pPr>
      <w:r>
        <w:t>1. 系统之间的关系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网页后台和销售小程序是同一个 B2B 业务系统的两个操作端，不是两套独立数据。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2F2A3A"/>
          <w:sz w:val="22"/>
        </w:rPr>
        <w:t>网页后台</w:t>
      </w:r>
      <w:r>
        <w:rPr>
          <w:rFonts w:ascii="Arial Unicode MS" w:hAnsi="Arial Unicode MS" w:eastAsia="Arial Unicode MS" w:cs="Arial Unicode MS"/>
          <w:color w:val="2F2A3A"/>
          <w:sz w:val="22"/>
        </w:rPr>
        <w:t>：适合电脑端下单、订单管理、客户管理、库存、批次、采购、财务、分析和系统管理。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2F2A3A"/>
          <w:sz w:val="22"/>
        </w:rPr>
        <w:t>销售小程序</w:t>
      </w:r>
      <w:r>
        <w:rPr>
          <w:rFonts w:ascii="Arial Unicode MS" w:hAnsi="Arial Unicode MS" w:eastAsia="Arial Unicode MS" w:cs="Arial Unicode MS"/>
          <w:color w:val="2F2A3A"/>
          <w:sz w:val="22"/>
        </w:rPr>
        <w:t>：适合销售在手机端查价、下单、管客户、申请未收款发货、发起售后和发货。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2F2A3A"/>
          <w:sz w:val="22"/>
        </w:rPr>
        <w:t>Supabase</w:t>
      </w:r>
      <w:r>
        <w:rPr>
          <w:rFonts w:ascii="Arial Unicode MS" w:hAnsi="Arial Unicode MS" w:eastAsia="Arial Unicode MS" w:cs="Arial Unicode MS"/>
          <w:color w:val="2F2A3A"/>
          <w:sz w:val="22"/>
        </w:rPr>
        <w:t>：两个端共用的云端数据库，订单、商品、价格、库存、客户、收付款和售后记录都从这里读写。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2F2A3A"/>
          <w:sz w:val="22"/>
        </w:rPr>
        <w:t>微信零售商城</w:t>
      </w:r>
      <w:r>
        <w:rPr>
          <w:rFonts w:ascii="Arial Unicode MS" w:hAnsi="Arial Unicode MS" w:eastAsia="Arial Unicode MS" w:cs="Arial Unicode MS"/>
          <w:color w:val="2F2A3A"/>
          <w:sz w:val="22"/>
        </w:rPr>
        <w:t>：如果接入 2C 零售订单，会以“微信商城”来源进入同一订单与财务汇总，但它不是销售人员使用的 B2B 下单小程序。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同一笔订单不应该在网页和小程序重复建立。订单编号与“下单来源”用于识别它从哪个端创建。</w:t>
      </w:r>
    </w:p>
    <w:p>
      <w:pPr>
        <w:pStyle w:val="Heading1"/>
        <w:widowControl/>
      </w:pPr>
      <w:r>
        <w:t>2. 角色与职责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color="DDD5E4"/>
          <w:left w:val="single" w:sz="6" w:color="DDD5E4"/>
          <w:bottom w:val="single" w:sz="6" w:color="DDD5E4"/>
          <w:right w:val="single" w:sz="6" w:color="DDD5E4"/>
          <w:insideH w:val="single" w:sz="6" w:color="DDD5E4"/>
          <w:insideV w:val="single" w:sz="6" w:color="DDD5E4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EEAF3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2F2A3A"/>
                <w:sz w:val="19"/>
              </w:rPr>
              <w:t>角色</w:t>
            </w:r>
          </w:p>
        </w:tc>
        <w:tc>
          <w:tcPr>
            <w:tcW w:type="dxa" w:w="7260"/>
            <w:vAlign w:val="center"/>
            <w:shd w:fill="EEEAF3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2F2A3A"/>
                <w:sz w:val="19"/>
              </w:rPr>
              <w:t>主要操作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销售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客户、查价、下单、收款、发货、发起售后、申请未收款发货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仓库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备货、打印发货单、发货、退货验收、退货入库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财务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收款流水、退款、报表、销售业绩与提成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管理员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F2A3A"/>
                <w:sz w:val="19"/>
              </w:rPr>
              <w:t>所有业务查看，人员角色，商品、价格、库存、采购，异常订单，未收款发货审批</w:t>
            </w:r>
          </w:p>
        </w:tc>
      </w:tr>
    </w:tbl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原则：操作人使用自己账号，不共用密码；人员离职后由管理员立即停用账号。</w:t>
      </w:r>
    </w:p>
    <w:p>
      <w:pPr>
        <w:pStyle w:val="Heading1"/>
        <w:widowControl/>
      </w:pPr>
      <w:r>
        <w:t>3. 正常订单流程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选择客户，确认客户类型、负责销售、联系方式和地址。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选择原料或成品及规格，输入数量。库存不足时系统不创建订单。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核对商品编号、规格、数量、单价、折扣、运费和最终金额。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提交订单后，系统会在一次事务中创建订单并扣减库存。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收款时必选：微信、支付宝、对公账户转账、对私银行账户转账。全额收款与订单确认在同一事务完成，普通客户进入待发货，展会/线下客户直接完成。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订单进入待发货后，仓库先打印发货单备货核对，再填快递公司和单号发货。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收货后将订单标记为已完成。</w:t>
      </w:r>
    </w:p>
    <w:p>
      <w:pPr>
        <w:pStyle w:val="Heading2"/>
        <w:widowControl/>
      </w:pPr>
      <w:r>
        <w:t>未收款但需发货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销售在订单详情的收款信息区选择“未收款，请发货”，填写原因。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管理员审核通过后才能发货。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管理员也可直接为任何订单批准，但原因仍必须记录。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未收款发货不代表已收款，财务报表仍显示未收金额。</w:t>
      </w:r>
    </w:p>
    <w:p>
      <w:pPr>
        <w:pStyle w:val="Heading1"/>
        <w:widowControl/>
      </w:pPr>
      <w:r>
        <w:t>4. 订单下错与取消</w:t>
      </w:r>
    </w:p>
    <w:p>
      <w:pPr>
        <w:pStyle w:val="Heading2"/>
        <w:widowControl/>
      </w:pPr>
      <w:r>
        <w:t>A. 未收款、未发货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订单里没有任何收款或退款流水时，可直接“取消订单”。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取消与库存恢复在同一个数据库事务中完成；一项失败则全部不保存。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取消单保留在订单列表供审计，不计入销售额、提成和正常订单统计。</w:t>
      </w:r>
    </w:p>
    <w:p>
      <w:pPr>
        <w:pStyle w:val="Heading2"/>
        <w:widowControl/>
      </w:pPr>
      <w:r>
        <w:t>B. 已有收款、未发货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不得直接取消或删除。需要恢复商品库存时发起“退货退款”；不需要变动库存时发起“仅退款”。完成后订单保留，正数收款与负数退款在财务流水中对冲。</w:t>
      </w:r>
    </w:p>
    <w:p>
      <w:pPr>
        <w:pStyle w:val="Heading2"/>
        <w:widowControl/>
      </w:pPr>
      <w:r>
        <w:t>C. 已发货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不能取消，只能走售后流程。</w:t>
      </w:r>
    </w:p>
    <w:p>
      <w:pPr>
        <w:pStyle w:val="Heading2"/>
        <w:widowControl/>
      </w:pPr>
      <w:r>
        <w:t>D. 删除订单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“删除”只用于无收付款、无售后记录的重复单或误建单。删除后自动恢复库存，进入管理员删除订单库保留 30 天。已有收付款或售后记录时数据库会拒绝删除。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5. 退货退款流程</w:t>
      </w:r>
    </w:p>
    <w:p>
      <w:pPr>
        <w:shd w:fill="FFF7E7"/>
        <w:widowControl/>
        <w:pBdr>
          <w:left w:val="single" w:sz="18" w:space="8" w:color="F3BD5B"/>
        </w:pBdr>
        <w:spacing w:before="80" w:after="200"/>
        <w:ind w:left="216" w:right="216"/>
      </w:pPr>
      <w:r>
        <w:rPr>
          <w:rFonts w:ascii="Arial Unicode MS" w:hAnsi="Arial Unicode MS" w:eastAsia="Arial Unicode MS" w:cs="Arial Unicode MS"/>
          <w:b/>
          <w:color w:val="2F2A3A"/>
          <w:sz w:val="22"/>
        </w:rPr>
        <w:t>已收款订单发生退货时必须走售后工单，不能直接取消、删除订单或手工增加库存。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销售或管理员在订单详情发起“退货退款”。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按每个商品选择退货数量，可填备注。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部分退货按订单原单价 × 退货数量自动计算；退回全部剩余商品时，系统自动按当前实收金额整单退，折扣和运费不会造成多退。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销售提交售后时只建立工单，库存和资金都不变；仓库收到实物并验货后选择“退回已入库”或“退回不入库”。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财务选择退款方式并确认固定退款金额。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系统同时写入负数付款流水、减少订单商品数量与金额、更新已收金额。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退全部商品就是整单退，原订单保留为完整审计记录。</w:t>
      </w:r>
    </w:p>
    <w:p>
      <w:pPr>
        <w:pStyle w:val="Heading2"/>
        <w:widowControl/>
      </w:pPr>
      <w:r>
        <w:t>库存恢复规则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仓库确认“退回已入库”时，系统自动把本次退回数量恢复到对应产品库存，并写入原因是“售后退回”的入库流水。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原料库存按该产品自己的密度换算回 kg 总库存；成品和包材按对应 SKU 的瓶/个数量恢复。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商品破损、泄漏、污染、过期或不能再次销售时，仓库必须选择“退回不入库”，系统不会增加库存。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财务完成退款只记录资金负数流水，不再改变库存，因此同一件退货不会被重复入库。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“退回已入库”恢复的是可售总库存并保留售后流水，不会删除或覆盖原订单记录。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退回数量不会改写已经发生的 FIFO 原批次出库；原批次与原订单保留用于追溯，退回库存以“售后退回”流水单独记录。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同一订单同一时间只能有一张待处理售后。仓库和财务重复点击时，数据库只允许第一次成功。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误建售后可由管理员在仓库尚未入库、财务尚未退款前取消。仓库已经处理后不得取消，必须继续完成财务处理，避免库存已增加但退款记录缺失。</w:t>
      </w:r>
    </w:p>
    <w:p>
      <w:pPr>
        <w:pStyle w:val="Heading1"/>
        <w:widowControl/>
      </w:pPr>
      <w:r>
        <w:t>6. 仅退款流程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销售或管理员选择“仅退款”。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输入退款金额并填写理由。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不经过仓库，直接进入待财务处理。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财务确认原申请金额后完成退款，系统记录负数流水并减少订单最终金额，库存不变。</w:t>
      </w:r>
    </w:p>
    <w:p>
      <w:pPr>
        <w:pStyle w:val="Heading1"/>
        <w:widowControl/>
      </w:pPr>
      <w:r>
        <w:t>7. 库存操作</w:t>
      </w:r>
    </w:p>
    <w:p>
      <w:pPr>
        <w:pStyle w:val="Heading2"/>
        <w:widowControl/>
      </w:pPr>
      <w:r>
        <w:t>原料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每个原料产品独立管理 kg 重量库存。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ml 规格的可售数量由该产品自己的密度换算，不与其他精油共用库存。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密度在库存页右上角“密度换算”中查看和修改。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入库时优先走批次入库，记录批次号、供应商、入库日期、保质期和 GC-MS 编号。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出库先消耗历史无批次库存，再按有效批次入库日期从早到晚自动扣减；过期批次不会自动销售。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日常出库使用“自动 FIFO”；有指定批号或追溯要求时切换“指定批次”，系统同步扣减总库存与该批次余量。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过期批次不能作为正常出库批次，只能从批次追溯页按“报废”处理。</w:t>
      </w:r>
    </w:p>
    <w:p>
      <w:pPr>
        <w:pStyle w:val="Heading2"/>
        <w:widowControl/>
      </w:pPr>
      <w:r>
        <w:t>成品与包材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按每个 SKU 的瓶/个/箱数量独立管理。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采购到货应从采购单执行收货，系统同时更新已收数量、批次和库存。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盘点差异用“调整/盘点修正”，必须填原因，不直接改数据库。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“库存全景”用于核对系统总库存、批次剩余、过期库存、无批次库存和下一个 FIFO 出库批次。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“批次 / GC-MS 追溯”可直接对某一批次执行出库或报废，所有操作都进入批次流水与出入库记录。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8. 采购与入库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采购工作台分为“采购建议、采购单、待收货、入库记录、供应商”五个页签：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先看采购建议。系统按近 60 天销量、安全库存和采购未到货数量计算建议，不替代人工确认。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建立或维护供应商，再建立采购单，选择原料或成品规格、采购数量、单位成本和预计到货日。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发出采购后将状态设为已下单，采购单进入“待收货”。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到货时从采购单执行“收货入库”，填写批次号、到货日期、保质期和可选 GC-MS 编号；不要再去库存页重复增加一次。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部分到货保持“部分收货”；供应商不再交付时由管理员“关闭剩余采购”；全部到货后自动转为“已收货”。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从未收货的采购单可由管理员删除，删除后进入回收站保留 30 天；已有收货记录的采购单不能直接删除。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收货录错时从“入库记录”撤销整次收货。只有该批次尚未出库或消耗时才允许撤销，系统会同时回退采购已收数量、批次余量、总库存和库存流水。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“直接入库”只用于期初盘点、无采购单的历史库存或经管理员确认的特殊入库。</w:t>
      </w:r>
    </w:p>
    <w:p>
      <w:pPr>
        <w:pStyle w:val="Heading1"/>
        <w:widowControl/>
      </w:pPr>
      <w:r>
        <w:t>9. 财务核对</w:t>
      </w:r>
    </w:p>
    <w:p>
      <w:pPr>
        <w:pStyle w:val="Heading2"/>
        <w:widowControl/>
      </w:pPr>
      <w:r>
        <w:t>每日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查看待收款、部分收款和未收款已发货订单。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查看待财务处理售后。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核对当日微信、支付宝、对公和对私银行流水。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退款必须从售后工单完成，不在订单里手工改“已收金额”。</w:t>
      </w:r>
    </w:p>
    <w:p>
      <w:pPr>
        <w:pStyle w:val="Heading2"/>
        <w:widowControl/>
      </w:pPr>
      <w:r>
        <w:t>每月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订单汇总：按下单日期统计应收、已收、未收。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收付款流水：按实际收款/退款时间统计；退款为负数。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商品明细：查产品编号、规格、数量、单价、折扣分摊和净销售额。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销售提成：公司承担折扣不减销售提成基数；未点“公司承担”时默认由销售承担。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导出 Excel 后留存月度副本。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“销售分析”使用有效订单最终金额，“收付款流水”使用实际入账日期，两者用途不同，不应要求每个时间段完全相等。</w:t>
      </w:r>
    </w:p>
    <w:p>
      <w:pPr>
        <w:pStyle w:val="Heading1"/>
        <w:widowControl/>
      </w:pPr>
      <w:r>
        <w:t>10. 上线前数据库更新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在 Supabase SQL Editor 按顺序运行：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migration_v31_unpaid_shipping_approval.sql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migration_v32_no_backorder_atomic_orders.sql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migration_v33_admin_unpaid_shipping_override.sql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migration_v34_order_after_sales_integrity.sql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migration_v35_fifo_batch_inventory.sql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migration_v36_manual_batch_outbound.sql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migration_v37_purchase_workflow.sql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verify_launch_integrity.sql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v34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不清空产品、库存或订单，只增加原子事务和数据完整性保护；</w:t>
      </w: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v35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增加 FIFO 批次扣减，</w:t>
      </w: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v36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增加指定批次出库，</w:t>
      </w: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v37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增加采购工作流且不会重置现有采购、批次或库存。运行结果中所有 </w:t>
      </w: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*_ready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应为 </w:t>
      </w: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true</w:t>
      </w:r>
      <w:r>
        <w:rPr>
          <w:rFonts w:ascii="Arial Unicode MS" w:hAnsi="Arial Unicode MS" w:eastAsia="Arial Unicode MS" w:cs="Arial Unicode MS"/>
          <w:color w:val="2F2A3A"/>
          <w:sz w:val="22"/>
        </w:rPr>
        <w:t>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11. 安全与备份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Supabase 负责托管 Postgres 数据库，但“数据在 Supabase”不自动等于应用权限安全。上线前需要：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将现有自定义手机号登录迁移到 Supabase Auth，让每个请求携带可验证的用户 JWT。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 xml:space="preserve">删除业务表的 </w:t>
      </w: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Allow all ... USING (true) WITH CHECK (true)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宽松策略。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按管理员、销售、仓库、财务建立最小权限 RLS；销售只查自己客户/订单，仓库不查价格和财务。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 xml:space="preserve">网页和小程序只放可公开的 publishable/anon key，永远不放 </w:t>
      </w: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service_role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或 secret key。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Supabase 平台账号和 GitHub 开启 MFA，数据库开启 SSL Enforcement。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检查当前套餐的自动备份保留时间；至少每月导出一份异地备份。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每次大批量导入、价格更新或 SQL 迁移前，先确认最新备份可用。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2F2A3A"/>
          <w:sz w:val="22"/>
        </w:rPr>
        <w:t>完成 Auth + RLS 改造前，系统可以进行内部功能测试，但不应被定义为“已完成权限安全加固的正式生产系统”。</w:t>
      </w:r>
    </w:p>
    <w:p>
      <w:pPr>
        <w:pStyle w:val="Heading1"/>
        <w:widowControl/>
      </w:pPr>
      <w:r>
        <w:t>12. 故障处理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 xml:space="preserve">页面提示找不到 </w:t>
      </w: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zidu_*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函数：检查是否按顺序运行最新 migration，等待约 10 秒刷新 schema cache 后重试。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退货无法提交：检查是否已收款、是否已有待处理售后、退货数量是否超出当前订单数量。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退款无法完成：检查是否选择有效退款方式，申请金额由系统固定。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>取消被拒绝：订单已有收付款或已发货，应改走售后。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2F2A3A"/>
          <w:sz w:val="22"/>
        </w:rPr>
        <w:t xml:space="preserve">库存不一致：暂停继续出入库，保留截图和订单号，运行 </w:t>
      </w:r>
      <w:r>
        <w:rPr>
          <w:rFonts w:ascii="Arial Unicode MS" w:hAnsi="Arial Unicode MS" w:eastAsia="Arial Unicode MS" w:cs="Arial Unicode MS"/>
          <w:color w:val="5C4B73"/>
          <w:sz w:val="21"/>
          <w:shd w:fill="F4F1F7"/>
        </w:rPr>
        <w:t>verify_launch_integrity.sql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核对，不直接手改数据库。</w:t>
      </w:r>
    </w:p>
    <w:p>
      <w:pPr>
        <w:spacing w:before="320" w:after="0"/>
        <w:shd w:fill="F4F1F7"/>
        <w:widowControl/>
        <w:pBdr>
          <w:left w:val="single" w:sz="18" w:space="8" w:color="5C4B73"/>
        </w:pBdr>
        <w:ind w:left="216" w:right="216"/>
      </w:pPr>
      <w:r>
        <w:rPr>
          <w:rFonts w:ascii="Arial Unicode MS" w:hAnsi="Arial Unicode MS" w:eastAsia="Arial Unicode MS" w:cs="Arial Unicode MS"/>
          <w:b/>
          <w:color w:val="2F2A3A"/>
          <w:sz w:val="22"/>
        </w:rPr>
        <w:t>执行口径：</w:t>
      </w:r>
      <w:r>
        <w:rPr>
          <w:rFonts w:ascii="Arial Unicode MS" w:hAnsi="Arial Unicode MS" w:eastAsia="Arial Unicode MS" w:cs="Arial Unicode MS"/>
          <w:color w:val="2F2A3A"/>
          <w:sz w:val="22"/>
        </w:rPr>
        <w:t xml:space="preserve"> 所有涉及库存、收付款、售后和采购入库的操作，都应从对应业务入口完成，不直接修改 Supabase 表数据。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altName w:val="Arial Unicode MS"/>
    <w:charset w:val="86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 w:cs="Arial Unicode MS"/>
        <w:color w:val="756F7A"/>
        <w:sz w:val="18"/>
      </w:rPr>
      <w:t xml:space="preserve">内部运营文件   |   </w:t>
    </w:r>
    <w:r>
      <w:rPr>
        <w:rFonts w:ascii="Arial Unicode MS" w:hAnsi="Arial Unicode MS" w:eastAsia="Arial Unicode MS" w:cs="Arial Unicode MS"/>
        <w:color w:val="756F7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b/>
        <w:color w:val="756F7A"/>
        <w:sz w:val="18"/>
      </w:rPr>
      <w:t>ZIDU  ·  紫都业务系统操作手册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color w:val="2F2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5C4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5C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539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紫都业务系统操作手册</dc:title>
  <dc:subject>网页后台、销售微信小程序与 Supabase 云端业务操作流程</dc:subject>
  <dc:creator>紫都 ZIDU</dc:creator>
  <cp:keywords>紫都, 操作手册, 订单, 售后, 库存, 采购, 财务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