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Calibri" w:eastAsia="Microsoft YaHei"/>
          <w:b/>
          <w:bCs/>
          <w:color w:val="0B6B5D"/>
          <w:sz w:val="28"/>
          <w:szCs w:val="28"/>
        </w:rPr>
        <w:t xml:space="preserve">补充材料上传清单（Supplementary Materials Manifest）</w:t>
      </w:r>
    </w:p>
    <w:p>
      <w:pPr>
        <w:spacing w:after="100" w:line="312"/>
        <w:jc w:val="both"/>
      </w:pPr>
      <w:r>
        <w:rPr>
          <w:rFonts w:ascii="Calibri" w:eastAsia="Microsoft YaHei"/>
          <w:color w:val="1A1A1A"/>
          <w:sz w:val="23"/>
          <w:szCs w:val="23"/>
        </w:rPr>
        <w:t>本清单对应 SUBMISSION_SUPP 文件夹，供期刊投稿系统分栏上传使用：Supplementary_Figures（17 个补充图）、Supplementary_Tables（35 个补充表文件；S23–S24、S28–S29 内嵌于补充正文 docx；S25/S26/S27 已单列 CSV）、Supplementary_Code（分析代码）。主稿 Methods 与 Results 初稿见 manuscript 文件夹。</w:t>
      </w:r>
    </w:p>
    <w:p>
      <w:pPr>
        <w:pStyle w:val="Heading1"/>
        <w:spacing w:after="120" w:before="300"/>
      </w:pPr>
      <w:r>
        <w:rPr>
          <w:rFonts w:ascii="Calibri" w:eastAsia="Microsoft YaHei"/>
          <w:b/>
          <w:bCs/>
          <w:color w:val="0B6B5D"/>
          <w:sz w:val="28"/>
          <w:szCs w:val="28"/>
        </w:rPr>
        <w:t xml:space="preserve">Supplementary Figures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0B6B5D"/>
                <w:sz w:val="20"/>
                <w:szCs w:val="20"/>
              </w:rPr>
              <w:t xml:space="preserve">编号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0B6B5D"/>
                <w:sz w:val="20"/>
                <w:szCs w:val="20"/>
              </w:rPr>
              <w:t xml:space="preserve">文件名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0B6B5D"/>
                <w:sz w:val="20"/>
                <w:szCs w:val="20"/>
              </w:rPr>
              <w:t xml:space="preserve">内容说明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Figure_S1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PCA_before_after_batch_correction.pdf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去批次前后 PCA 双面板（按数据集着色）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Figure_S2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ANN_insample_reproduction_ROC.pdf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ANN 训练集内 ROC 复现（AUC 0.987）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Figure_S3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ANN_10fold_CV_ROC.pdf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ANN 10 折交叉验证 ROC（AUC 0.907）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Figure_S4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ANN_external_validation_ROC_GSE110224.pdf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ANN 外部验证 ROC（0.820）+ logistic 对照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Figure_S5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feature_selection_frequency_100repeats.pdf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LASSO/RF 选择频率（100 次重复）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Figure_S6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ssGSEA_boxplot_Senbabaoglu20.pdf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Senbabaoglu 签名 ssGSEA 箱图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Figure_S7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ssGSEA_corr_heatmap_Senbabaoglu20.pdf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Senbabaoglu 签名相关热图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Figure_S8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ssGSEA_boxplot_Charoentong28.pdf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Charoentong 签名 ssGSEA 箱图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Figure_S9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ssGSEA_corr_heatmap_Charoentong28.png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Charoentong 签名相关热图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Figure_S10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checkpoint_corr_training_cohort.pdf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检查点相关热图（训练集）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Figure_S11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checkpoint_corr_TCGA_cohort.pdf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检查点相关热图（TCGA）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Figure_S12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TCGA_overall_survival_KM.pdf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TCGA 总生存 KM 曲线（三基因）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Figure_S13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TCGA_mutation_CNA_barplot.pdf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TCGA 突变/CNA 汇总条形图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Figure_S14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TCGA_tumour_expression_boxplot.pdf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TCGA 肿瘤表达箱图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Figure_S15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CellChat_rankNet_comparison.pdf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CellChat rankNet 信号强度对比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Figure_S16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CellChat_bubble_EpiSig_sources.pdf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CellChat bubble（上皮亚群为信号源）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Figure_S17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CellChat_pathway_diff_top12.png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CellChat 通路差异 Top12 条形图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eastAsia="Microsoft YaHei"/>
          <w:b/>
          <w:bCs/>
          <w:color w:val="0B6B5D"/>
          <w:sz w:val="28"/>
          <w:szCs w:val="28"/>
        </w:rPr>
        <w:t xml:space="preserve">Supplementary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0B6B5D"/>
                <w:sz w:val="20"/>
                <w:szCs w:val="20"/>
              </w:rPr>
              <w:t xml:space="preserve">编号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0B6B5D"/>
                <w:sz w:val="20"/>
                <w:szCs w:val="20"/>
              </w:rPr>
              <w:t xml:space="preserve">文件名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0B6B5D"/>
                <w:sz w:val="20"/>
                <w:szCs w:val="20"/>
              </w:rPr>
              <w:t xml:space="preserve">内容说明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Table_S1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dataset_overview.csv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数据集总览（GEO 号/平台/样本数）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Table_S2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leave_one_dataset_out_sensitivity.csv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LODO 敏感性（三基因 logFC/adjP）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Table_S3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downsampling_stability_feature_selection.csv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降抽样特征选择稳定性（3 种子）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Table_S4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downsampling_stability_DEG.csv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降抽样三基因 DEG（3 种子）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Table_S5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seeded_feature_lists_full_training.csv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全训练集种子锁定特征列表（3 种子）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Table_S6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ANN_performance_summary.csv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ANN 性能汇总（复现/CV/外部）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Table_S7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ANN_external_sample_level_predictions.csv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外部集样本级预测值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Table_S8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feature_selection_frequency.csv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选择频率数值表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Table_S9/S10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ssGSEA_scores_correlations_Senbabaoglu20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Senbabaoglu ssGSEA 分值/相关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Table_S11/S12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ssGSEA_scores_correlations_Charoentong28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Charoentong ssGSEA 分值/相关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Table_S13/S14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checkpoint_correlations_training_TCGA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检查点相关（训练集/TCGA）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Table_S15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TCGA_mutation_CNA_summary.csv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TCGA 突变与 GISTIC CNA（全 0）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Table_S16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TCGA_KM_summary.csv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KM 汇总（log-rank p、HR）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Table_S17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TCGA_GISTIC_details.csv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GISTIC 明细（257 样本）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Table_S18/S19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UALCAN_methylation_boxstats_medians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UALCAN 甲基化五数概括/中位数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Table_S20/S21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CellChat_pathway_diff_prob_summary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CellChat 通路差异/概率汇总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Table_S22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docking_summary.csv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分子对接结合能汇总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Table_S25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Table_S25_ten_seed_consensus_full.csv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十种子全训练集共识（43 候选池；LASSO/SVM/RF 特征列表与交集）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Table_S26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Table_S26_ten_seed_consensus_downsample.csv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十种子 80% 降采样共识（与 S25 同构；签名基因均未进入交集）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Table_S27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Table_S27_nested_cv_predictions.csv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嵌套重选 CV 的逐样本留出预测（150 行，完整版）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Table_S36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Table_S36_checkpoint_correlations_BH.csv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两队列免疫检查点相关 BH 校正全表（87 tests）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Table_S37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Table_S37_frozen_zscore_external.csv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冻结训练集 z-score 参数的外部 AUC 敏感性（ANN 0.706 / logistic 0.848）</w:t>
            </w:r>
          </w:p>
        </w:tc>
      </w:tr>
      <w:tr>
        <w:tc>
          <w:tcPr>
            <w:tcW w:type="dxa" w:w="100"/>
          </w:tcPr>
          <w:p>
            <w:r>
              <w:t>Table_S30</w:t>
            </w:r>
          </w:p>
        </w:tc>
        <w:tc>
          <w:tcPr>
            <w:tcW w:type="dxa" w:w="100"/>
          </w:tcPr>
          <w:p>
            <w:r>
              <w:t>Table_S30_full_training_DEG_all_genes.csv</w:t>
            </w:r>
          </w:p>
        </w:tc>
        <w:tc>
          <w:tcPr>
            <w:tcW w:type="dxa" w:w="100"/>
          </w:tcPr>
          <w:p>
            <w:r>
              <w:t>全训练集 limma 差异表达表（82 个阈值达标基因，含三签名基因）</w:t>
            </w:r>
          </w:p>
        </w:tc>
      </w:tr>
      <w:tr>
        <w:tc>
          <w:tcPr>
            <w:tcW w:type="dxa" w:w="100"/>
          </w:tcPr>
          <w:p>
            <w:r>
              <w:t>Table_S31</w:t>
            </w:r>
          </w:p>
        </w:tc>
        <w:tc>
          <w:tcPr>
            <w:tcW w:type="dxa" w:w="100"/>
          </w:tcPr>
          <w:p>
            <w:r>
              <w:t>Table_S31_43_candidate_genes.txt</w:t>
            </w:r>
          </w:p>
        </w:tc>
        <w:tc>
          <w:tcPr>
            <w:tcW w:type="dxa" w:w="100"/>
          </w:tcPr>
          <w:p>
            <w:r>
              <w:t>43 个候选基因清单（82 DEG 与 WGCNA 棕/紫模块交集）</w:t>
            </w:r>
          </w:p>
        </w:tc>
      </w:tr>
      <w:tr>
        <w:tc>
          <w:tcPr>
            <w:tcW w:type="dxa" w:w="100"/>
          </w:tcPr>
          <w:p>
            <w:r>
              <w:t>Table_S32</w:t>
            </w:r>
          </w:p>
        </w:tc>
        <w:tc>
          <w:tcPr>
            <w:tcW w:type="dxa" w:w="100"/>
          </w:tcPr>
          <w:p>
            <w:r>
              <w:t>Table_S32_CIBERSORT_per_sample_scores.csv</w:t>
            </w:r>
          </w:p>
        </w:tc>
        <w:tc>
          <w:tcPr>
            <w:tcW w:type="dxa" w:w="100"/>
          </w:tcPr>
          <w:p>
            <w:r>
              <w:t>CIBERSORT (LM22) 每样本免疫细胞比例</w:t>
            </w:r>
          </w:p>
        </w:tc>
      </w:tr>
      <w:tr>
        <w:tc>
          <w:tcPr>
            <w:tcW w:type="dxa" w:w="100"/>
          </w:tcPr>
          <w:p>
            <w:r>
              <w:t>Table_S33</w:t>
            </w:r>
          </w:p>
        </w:tc>
        <w:tc>
          <w:tcPr>
            <w:tcW w:type="dxa" w:w="100"/>
          </w:tcPr>
          <w:p>
            <w:r>
              <w:t>Table_S33_ssGSEA_per_sample_scores.csv</w:t>
            </w:r>
          </w:p>
        </w:tc>
        <w:tc>
          <w:tcPr>
            <w:tcW w:type="dxa" w:w="100"/>
          </w:tcPr>
          <w:p>
            <w:r>
              <w:t>每样本 ssGSEA 分值（Senbabaoglu 20 类；与 S9 同源）</w:t>
            </w:r>
          </w:p>
        </w:tc>
      </w:tr>
      <w:tr>
        <w:tc>
          <w:tcPr>
            <w:tcW w:type="dxa" w:w="100"/>
          </w:tcPr>
          <w:p>
            <w:r>
              <w:t>Table_S33b</w:t>
            </w:r>
          </w:p>
        </w:tc>
        <w:tc>
          <w:tcPr>
            <w:tcW w:type="dxa" w:w="100"/>
          </w:tcPr>
          <w:p>
            <w:r>
              <w:t>Table_S33b_ssGSEA_scores_Charoentong28.csv</w:t>
            </w:r>
          </w:p>
        </w:tc>
        <w:tc>
          <w:tcPr>
            <w:tcW w:type="dxa" w:w="100"/>
          </w:tcPr>
          <w:p>
            <w:r>
              <w:t>每样本 ssGSEA 分值（Charoentong 28 类；与 S11 同源）</w:t>
            </w:r>
          </w:p>
        </w:tc>
      </w:tr>
      <w:tr>
        <w:tc>
          <w:tcPr>
            <w:tcW w:type="dxa" w:w="100"/>
          </w:tcPr>
          <w:p>
            <w:r>
              <w:t>Table_S34</w:t>
            </w:r>
          </w:p>
        </w:tc>
        <w:tc>
          <w:tcPr>
            <w:tcW w:type="dxa" w:w="100"/>
          </w:tcPr>
          <w:p>
            <w:r>
              <w:t>Table_S34_ANN_zscore_vs_raw_comparison.csv</w:t>
            </w:r>
          </w:p>
        </w:tc>
        <w:tc>
          <w:tcPr>
            <w:tcW w:type="dxa" w:w="100"/>
          </w:tcPr>
          <w:p>
            <w:r>
              <w:t>ANN z-score 与 raw 输入对比汇总（S6 的副本）</w:t>
            </w:r>
          </w:p>
        </w:tc>
      </w:tr>
      <w:tr>
        <w:tc>
          <w:tcPr>
            <w:tcW w:type="dxa" w:w="100"/>
          </w:tcPr>
          <w:p>
            <w:r>
              <w:t>Table_S35</w:t>
            </w:r>
          </w:p>
        </w:tc>
        <w:tc>
          <w:tcPr>
            <w:tcW w:type="dxa" w:w="100"/>
          </w:tcPr>
          <w:p>
            <w:r>
              <w:t>Table_S35_incoming_diff_EpiSigLow_vs_High.csv</w:t>
            </w:r>
          </w:p>
        </w:tc>
        <w:tc>
          <w:tcPr>
            <w:tcW w:type="dxa" w:w="100"/>
          </w:tcPr>
          <w:p>
            <w:r>
              <w:t>CellChat incoming-signalling 差异（EpiSigLow vs EpiSigHigh）</w:t>
            </w:r>
          </w:p>
        </w:tc>
      </w:tr>
      <w:tr>
        <w:tc>
          <w:tcPr>
            <w:tcW w:type="dxa" w:w="100"/>
          </w:tcPr>
          <w:p>
            <w:r>
              <w:t>Table_S6b</w:t>
            </w:r>
          </w:p>
        </w:tc>
        <w:tc>
          <w:tcPr>
            <w:tcW w:type="dxa" w:w="100"/>
          </w:tcPr>
          <w:p>
            <w:r>
              <w:t>Table_S6b_LOCO_cohort_blocked_predictions.csv</w:t>
            </w:r>
          </w:p>
        </w:tc>
        <w:tc>
          <w:tcPr>
            <w:tcW w:type="dxa" w:w="100"/>
          </w:tcPr>
          <w:p>
            <w:r>
              <w:t>留一队列外验证（patient-blocked）逐样本预测（AUC 0.686）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eastAsia="Microsoft YaHei"/>
          <w:b/>
          <w:bCs/>
          <w:color w:val="0B6B5D"/>
          <w:sz w:val="28"/>
          <w:szCs w:val="28"/>
        </w:rPr>
        <w:t xml:space="preserve">Supplementary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0B6B5D"/>
                <w:sz w:val="20"/>
                <w:szCs w:val="20"/>
              </w:rPr>
              <w:t xml:space="preserve">脚本编号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0B6B5D"/>
                <w:sz w:val="20"/>
                <w:szCs w:val="20"/>
              </w:rPr>
              <w:t xml:space="preserve">内容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0B6B5D"/>
                <w:sz w:val="20"/>
                <w:szCs w:val="20"/>
              </w:rPr>
              <w:t xml:space="preserve">语言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01-03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ANN 三级验证（复现/10 折 CV/GSE110224 外部）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02/02b/02c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敏感性分析（PCA/LODO/降抽样/RF 修复）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03/03b/03c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特征稳定性（种子锁定/单种子并行/RF 修复）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04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选择频率 100 次重复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05/05b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ssGSEA（Senbabaoglu + Charoentong 双签名）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06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免疫检查点相关（双队列）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07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TCGA KM/突变/CNA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08/08b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CellChat 流水线与合并比较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09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UALCAN 甲基化箱图（Highcharts 数据提取）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cBioPortal API 拉取（表达/临床/突变/CNA）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11/12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Charoentong 补充材料下载与解析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CIBERSORT/Lollipop/GSEA 数值提取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  <w:tblHeader w:val="false"/>
        </w:trPr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main_pipeline_fixed__*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主流程修正版脚本（39 个：路径/种子/文件名修复）</w:t>
            </w:r>
          </w:p>
        </w:tc>
        <w:tc>
          <w:tcPr>
            <w:tcW w:type="pct" w:w="25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rFonts w:ascii="Consolas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00"/>
          </w:tcPr>
          <w:p>
            <w:r>
              <w:t>14/14b</w:t>
            </w:r>
          </w:p>
        </w:tc>
        <w:tc>
          <w:tcPr>
            <w:tcW w:type="dxa" w:w="100"/>
          </w:tcPr>
          <w:p>
            <w:r>
              <w:t>投稿后审查新增敏感性分析（检查点相关 BH 校正；冻结 z-score 参数外部验证）</w:t>
            </w:r>
          </w:p>
        </w:tc>
        <w:tc>
          <w:tcPr>
            <w:tcW w:type="dxa" w:w="100"/>
          </w:tcPr>
          <w:p>
            <w:r>
              <w:t>R</w:t>
            </w:r>
          </w:p>
        </w:tc>
      </w:tr>
    </w:tbl>
    <w:p>
      <w:pPr>
        <w:spacing w:after="100" w:line="312"/>
        <w:jc w:val="both"/>
      </w:pPr>
      <w:r>
        <w:rPr>
          <w:rFonts w:ascii="Calibri" w:eastAsia="Microsoft YaHei"/>
          <w:color w:val="1A1A1A"/>
          <w:sz w:val="23"/>
          <w:szCs w:val="23"/>
        </w:rPr>
        <w:t xml:space="preserve">环境：R 4.6.1（limma/sva/WGCNA/glmnet/e1071/randomForest/neuralnet/pROC/GSVA/Seurat 5.5.1/CellChat 2.1.2/survival/pheatmap）；Python 3.13（requests/openpyxl/pypdf）；AutoDock Vina 1.2.7（独立程序，下载地址 github.com/ccsb-scripps/AutoDock-Vina/releases）。</w:t>
      </w:r>
    </w:p>
    <w:p>
      <w:pPr>
        <w:spacing w:after="100" w:line="312"/>
        <w:jc w:val="both"/>
      </w:pPr>
      <w:r>
        <w:rPr>
          <w:rFonts w:ascii="Calibri" w:eastAsia="Microsoft YaHei"/>
          <w:color w:val="1A1A1A"/>
          <w:sz w:val="23"/>
          <w:szCs w:val="23"/>
        </w:rPr>
        <w:t xml:space="preserve">备注：GDC（api.gdc.cancer.gov）在分析窗口内持续返回服务端 500，原始 counts 矩阵未纳入本包；肿瘤-正常对比由 GEPIA2 面板与 GSE110224 覆盖，服务恢复后可用 10 号脚本补齐。cellchat_diff.pdf 为占位文件（该版本 CellChat 无 netVisual_diff），比较维度由 rankNet 与 bubble 图覆盖。</w:t>
      </w:r>
    </w:p>
    <w:sectPr>
      <w:headerReference w:type="default" r:id="rId7"/>
      <w:footerReference w:type="default" r:id="rId8"/>
      <w:pgSz w:w="11906" w:h="16838" w:orient="portrait"/>
      <w:pgMar w:top="1360" w:right="1500" w:bottom="136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A646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5A646C"/>
        <w:sz w:val="17"/>
        <w:szCs w:val="17"/>
      </w:rPr>
      <w:t xml:space="preserve">Supplementary materials manifest - CRC three-gene signature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2026-09-10T15:56:10.307Z</dcterms:created>
  <dcterms:modified xsi:type="dcterms:W3CDTF">2026-09-10T15:56:10.309Z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