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29ABE2"/>
          <w:sz w:val="32"/>
          <w:szCs w:val="32"/>
        </w:rPr>
        <w:t xml:space="preserve">SECURITS TECH</w:t>
      </w:r>
    </w:p>
    <w:p>
      <w:pPr>
        <w:spacing w:after="500"/>
      </w:pPr>
      <w:r>
        <w:rPr>
          <w:rFonts w:ascii="Calibri" w:cs="Calibri" w:eastAsia="Calibri" w:hAnsi="Calibri"/>
          <w:i/>
          <w:iCs/>
          <w:color w:val="555555"/>
          <w:sz w:val="19"/>
          <w:szCs w:val="19"/>
        </w:rPr>
        <w:t xml:space="preserve">Sécurité connectée • Domotique • Réhabilitation de bâtiments — Pointe-Noire, Congo</w:t>
      </w:r>
    </w:p>
    <w:p>
      <w:pPr>
        <w:spacing w:after="100" w:before="600"/>
        <w:jc w:val="center"/>
      </w:pPr>
      <w:r>
        <w:rPr>
          <w:rFonts w:ascii="Calibri" w:cs="Calibri" w:eastAsia="Calibri" w:hAnsi="Calibri"/>
          <w:b/>
          <w:bCs/>
          <w:color w:val="1a1a1a"/>
          <w:sz w:val="34"/>
          <w:szCs w:val="34"/>
        </w:rPr>
        <w:t xml:space="preserve">CAS PRATIQUE DE VALIDATION</w:t>
      </w:r>
    </w:p>
    <w:p>
      <w:pPr>
        <w:spacing w:after="100"/>
        <w:jc w:val="center"/>
      </w:pPr>
      <w:r>
        <w:rPr>
          <w:rFonts w:ascii="Calibri" w:cs="Calibri" w:eastAsia="Calibri" w:hAnsi="Calibri"/>
          <w:b/>
          <w:bCs/>
          <w:color w:val="8B1E3F"/>
          <w:sz w:val="28"/>
          <w:szCs w:val="28"/>
        </w:rPr>
        <w:t xml:space="preserve">Immeuble Résidentiel R+4</w:t>
      </w:r>
    </w:p>
    <w:p>
      <w:pPr>
        <w:spacing w:after="600"/>
        <w:jc w:val="center"/>
      </w:pPr>
      <w:r>
        <w:rPr>
          <w:rFonts w:ascii="Calibri" w:cs="Calibri" w:eastAsia="Calibri" w:hAnsi="Calibri"/>
          <w:color w:val="555555"/>
          <w:sz w:val="20"/>
          <w:szCs w:val="20"/>
        </w:rPr>
        <w:t xml:space="preserve">Exercice complet de conception électrique — Securits Design Studio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29ABE2" w:sz="4"/>
              <w:left w:val="single" w:color="29ABE2" w:sz="24"/>
              <w:bottom w:val="single" w:color="29ABE2" w:sz="4"/>
              <w:right w:val="single" w:color="29ABE2" w:sz="4"/>
            </w:tcBorders>
            <w:shd w:fill="FBFBFB" w:val="clear"/>
            <w:tcMar>
              <w:top w:type="dxa" w:w="160"/>
              <w:left w:type="dxa" w:w="200"/>
              <w:bottom w:type="dxa" w:w="160"/>
              <w:right w:type="dxa" w:w="200"/>
            </w:tcMar>
          </w:tcPr>
          <w:p>
            <w:pPr>
              <w:spacing w:after="80"/>
            </w:pPr>
            <w:r>
              <w:rPr>
                <w:rFonts w:ascii="Calibri" w:cs="Calibri" w:eastAsia="Calibri" w:hAnsi="Calibri"/>
                <w:b/>
                <w:bCs/>
                <w:color w:val="29ABE2"/>
                <w:sz w:val="21"/>
                <w:szCs w:val="21"/>
              </w:rPr>
              <w:t xml:space="preserve">Objectif de ce document</w:t>
            </w:r>
          </w:p>
          <w:p>
            <w:r>
              <w:rPr>
                <w:rFonts w:ascii="Calibri" w:cs="Calibri" w:eastAsia="Calibri" w:hAnsi="Calibri"/>
                <w:color w:val="333333"/>
                <w:sz w:val="20"/>
                <w:szCs w:val="20"/>
              </w:rPr>
              <w:t xml:space="preserve">Ce cas pratique sert à tester l'application Securits Design Studio sur un projet réel de complexité représentative : plusieurs tableaux, plusieurs niveaux de puissance, et des cas de non-conformité volontairement intégrés pour vérifier que le moteur de validation NF C 15-100 les détecte correctement.</w:t>
            </w:r>
          </w:p>
        </w:tc>
      </w:tr>
    </w:tbl>
    <w:p>
      <w:r>
        <w:br w:type="page"/>
      </w:r>
    </w:p>
    <w:p>
      <w:pPr>
        <w:pStyle w:val="Heading1"/>
        <w:pBdr>
          <w:bottom w:val="single" w:color="29ABE2" w:sz="6" w:space="4"/>
        </w:pBdr>
        <w:spacing w:after="200" w:before="400"/>
      </w:pPr>
      <w:r>
        <w:rPr>
          <w:rFonts w:ascii="Calibri" w:cs="Calibri" w:eastAsia="Calibri" w:hAnsi="Calibri"/>
          <w:b/>
          <w:bCs/>
          <w:color w:val="29ABE2"/>
          <w:sz w:val="30"/>
          <w:szCs w:val="30"/>
        </w:rPr>
        <w:t xml:space="preserve">Sommaire</w:t>
      </w:r>
    </w:p>
    <w:p>
      <w:pPr>
        <w:spacing w:after="140"/>
      </w:pPr>
      <w:r>
        <w:rPr>
          <w:rFonts w:ascii="Calibri" w:cs="Calibri" w:eastAsia="Calibri" w:hAnsi="Calibri"/>
          <w:b w:val="false"/>
          <w:bCs w:val="false"/>
          <w:color w:val="222222"/>
          <w:sz w:val="21"/>
          <w:szCs w:val="21"/>
        </w:rPr>
        <w:t xml:space="preserve">1. Présentation du projet</w:t>
      </w:r>
    </w:p>
    <w:p>
      <w:pPr>
        <w:spacing w:after="140"/>
      </w:pPr>
      <w:r>
        <w:rPr>
          <w:rFonts w:ascii="Calibri" w:cs="Calibri" w:eastAsia="Calibri" w:hAnsi="Calibri"/>
          <w:b w:val="false"/>
          <w:bCs w:val="false"/>
          <w:color w:val="222222"/>
          <w:sz w:val="21"/>
          <w:szCs w:val="21"/>
        </w:rPr>
        <w:t xml:space="preserve">2. Description architecturale du bâtiment</w:t>
      </w:r>
    </w:p>
    <w:p>
      <w:pPr>
        <w:spacing w:after="140"/>
      </w:pPr>
      <w:r>
        <w:rPr>
          <w:rFonts w:ascii="Calibri" w:cs="Calibri" w:eastAsia="Calibri" w:hAnsi="Calibri"/>
          <w:b w:val="false"/>
          <w:bCs w:val="false"/>
          <w:color w:val="222222"/>
          <w:sz w:val="21"/>
          <w:szCs w:val="21"/>
        </w:rPr>
        <w:t xml:space="preserve">3. Structure électrique attendue</w:t>
      </w:r>
    </w:p>
    <w:p>
      <w:pPr>
        <w:spacing w:after="140"/>
      </w:pPr>
      <w:r>
        <w:rPr>
          <w:rFonts w:ascii="Calibri" w:cs="Calibri" w:eastAsia="Calibri" w:hAnsi="Calibri"/>
          <w:b w:val="false"/>
          <w:bCs w:val="false"/>
          <w:color w:val="222222"/>
          <w:sz w:val="21"/>
          <w:szCs w:val="21"/>
        </w:rPr>
        <w:t xml:space="preserve">4. Détail des circuits par appartement type</w:t>
      </w:r>
    </w:p>
    <w:p>
      <w:pPr>
        <w:spacing w:after="140"/>
      </w:pPr>
      <w:r>
        <w:rPr>
          <w:rFonts w:ascii="Calibri" w:cs="Calibri" w:eastAsia="Calibri" w:hAnsi="Calibri"/>
          <w:b w:val="false"/>
          <w:bCs w:val="false"/>
          <w:color w:val="222222"/>
          <w:sz w:val="21"/>
          <w:szCs w:val="21"/>
        </w:rPr>
        <w:t xml:space="preserve">5. Parties communes et services généraux</w:t>
      </w:r>
    </w:p>
    <w:p>
      <w:pPr>
        <w:spacing w:after="140"/>
      </w:pPr>
      <w:r>
        <w:rPr>
          <w:rFonts w:ascii="Calibri" w:cs="Calibri" w:eastAsia="Calibri" w:hAnsi="Calibri"/>
          <w:b w:val="false"/>
          <w:bCs w:val="false"/>
          <w:color w:val="222222"/>
          <w:sz w:val="21"/>
          <w:szCs w:val="21"/>
        </w:rPr>
        <w:t xml:space="preserve">6. Bilan de puissance global et souscription EDF</w:t>
      </w:r>
    </w:p>
    <w:p>
      <w:pPr>
        <w:spacing w:after="140"/>
      </w:pPr>
      <w:r>
        <w:rPr>
          <w:rFonts w:ascii="Calibri" w:cs="Calibri" w:eastAsia="Calibri" w:hAnsi="Calibri"/>
          <w:b w:val="false"/>
          <w:bCs w:val="false"/>
          <w:color w:val="222222"/>
          <w:sz w:val="21"/>
          <w:szCs w:val="21"/>
        </w:rPr>
        <w:t xml:space="preserve">7. Pièges volontaires à détecter (test de validation)</w:t>
      </w:r>
    </w:p>
    <w:p>
      <w:pPr>
        <w:spacing w:after="140"/>
      </w:pPr>
      <w:r>
        <w:rPr>
          <w:rFonts w:ascii="Calibri" w:cs="Calibri" w:eastAsia="Calibri" w:hAnsi="Calibri"/>
          <w:b w:val="false"/>
          <w:bCs w:val="false"/>
          <w:color w:val="222222"/>
          <w:sz w:val="21"/>
          <w:szCs w:val="21"/>
        </w:rPr>
        <w:t xml:space="preserve">8. Critères de réussite du test</w:t>
      </w:r>
    </w:p>
    <w:p>
      <w:pPr>
        <w:spacing w:after="140"/>
      </w:pPr>
      <w:r>
        <w:rPr>
          <w:rFonts w:ascii="Calibri" w:cs="Calibri" w:eastAsia="Calibri" w:hAnsi="Calibri"/>
          <w:b w:val="false"/>
          <w:bCs w:val="false"/>
          <w:color w:val="222222"/>
          <w:sz w:val="21"/>
          <w:szCs w:val="21"/>
        </w:rPr>
        <w:t xml:space="preserve">9. Livrables attendus</w:t>
      </w:r>
    </w:p>
    <w:p>
      <w:r>
        <w:br w:type="page"/>
      </w:r>
    </w:p>
    <w:p>
      <w:pPr>
        <w:pStyle w:val="Heading1"/>
        <w:pBdr>
          <w:bottom w:val="single" w:color="29ABE2" w:sz="6" w:space="4"/>
        </w:pBdr>
        <w:spacing w:after="200" w:before="400"/>
      </w:pPr>
      <w:r>
        <w:rPr>
          <w:rFonts w:ascii="Calibri" w:cs="Calibri" w:eastAsia="Calibri" w:hAnsi="Calibri"/>
          <w:b/>
          <w:bCs/>
          <w:color w:val="29ABE2"/>
          <w:sz w:val="30"/>
          <w:szCs w:val="30"/>
        </w:rPr>
        <w:t xml:space="preserve">1. Présentation du projet</w:t>
      </w:r>
    </w:p>
    <w:p>
      <w:pPr>
        <w:spacing w:after="140"/>
      </w:pPr>
      <w:r>
        <w:rPr>
          <w:rFonts w:ascii="Calibri" w:cs="Calibri" w:eastAsia="Calibri" w:hAnsi="Calibri"/>
          <w:b w:val="false"/>
          <w:bCs w:val="false"/>
          <w:color w:val="222222"/>
          <w:sz w:val="21"/>
          <w:szCs w:val="21"/>
        </w:rPr>
        <w:t xml:space="preserve">Client fictif : SCI RÉSIDENCE MPITA — Bailleur social/privé, Pointe-Noire</w:t>
      </w:r>
    </w:p>
    <w:p>
      <w:pPr>
        <w:spacing w:after="140"/>
      </w:pPr>
      <w:r>
        <w:rPr>
          <w:rFonts w:ascii="Calibri" w:cs="Calibri" w:eastAsia="Calibri" w:hAnsi="Calibri"/>
          <w:b w:val="false"/>
          <w:bCs w:val="false"/>
          <w:color w:val="222222"/>
          <w:sz w:val="21"/>
          <w:szCs w:val="21"/>
        </w:rPr>
        <w:t xml:space="preserve">Adresse : Quartier Mpita, Bloc 54, Pointe-Noire, République du Congo</w:t>
      </w:r>
    </w:p>
    <w:p>
      <w:pPr>
        <w:spacing w:after="140"/>
      </w:pPr>
      <w:r>
        <w:rPr>
          <w:rFonts w:ascii="Calibri" w:cs="Calibri" w:eastAsia="Calibri" w:hAnsi="Calibri"/>
          <w:b w:val="false"/>
          <w:bCs w:val="false"/>
          <w:color w:val="222222"/>
          <w:sz w:val="21"/>
          <w:szCs w:val="21"/>
        </w:rPr>
        <w:t xml:space="preserve">Type de bâtiment : Immeuble résidentiel R+4 (rez-de-chaussée + 4 étages)</w:t>
      </w:r>
    </w:p>
    <w:p>
      <w:pPr>
        <w:spacing w:after="140"/>
      </w:pPr>
      <w:r>
        <w:rPr>
          <w:rFonts w:ascii="Calibri" w:cs="Calibri" w:eastAsia="Calibri" w:hAnsi="Calibri"/>
          <w:b w:val="false"/>
          <w:bCs w:val="false"/>
          <w:color w:val="222222"/>
          <w:sz w:val="21"/>
          <w:szCs w:val="21"/>
        </w:rPr>
        <w:t xml:space="preserve">Concepteur : Jacques Alphonse MATOKO — Securits Technologies</w:t>
      </w:r>
    </w:p>
    <w:p>
      <w:pPr>
        <w:spacing w:after="140"/>
      </w:pPr>
      <w:r>
        <w:rPr>
          <w:rFonts w:ascii="Calibri" w:cs="Calibri" w:eastAsia="Calibri" w:hAnsi="Calibri"/>
          <w:b w:val="false"/>
          <w:bCs w:val="false"/>
          <w:color w:val="222222"/>
          <w:sz w:val="21"/>
          <w:szCs w:val="21"/>
        </w:rPr>
        <w:t xml:space="preserve">Alimentation : Réseau SNE (Société Nationale d'Électricité), branchement triphasé 400V</w:t>
      </w:r>
    </w:p>
    <w:p>
      <w:pPr>
        <w:spacing w:after="140"/>
      </w:pPr>
      <w:r>
        <w:rPr>
          <w:rFonts w:ascii="Calibri" w:cs="Calibri" w:eastAsia="Calibri" w:hAnsi="Calibri"/>
          <w:b w:val="false"/>
          <w:bCs w:val="false"/>
          <w:color w:val="222222"/>
          <w:sz w:val="21"/>
          <w:szCs w:val="21"/>
        </w:rPr>
        <w:t xml:space="preserve"/>
      </w:r>
    </w:p>
    <w:p>
      <w:pPr>
        <w:spacing w:after="140"/>
      </w:pPr>
      <w:r>
        <w:rPr>
          <w:rFonts w:ascii="Calibri" w:cs="Calibri" w:eastAsia="Calibri" w:hAnsi="Calibri"/>
          <w:b w:val="false"/>
          <w:bCs w:val="false"/>
          <w:color w:val="222222"/>
          <w:sz w:val="21"/>
          <w:szCs w:val="21"/>
        </w:rPr>
        <w:t xml:space="preserve">Ce projet comprend 9 logements répartis sur 5 niveaux, plus des parties communes (éclairage circulation, ascenseur, pompe de surpression, portail motorisé). Il s'agit d'un cas représentatif d'un immeuble collectif de standing moyen à Pointe-Noire, avec une clientèle visée moyenne/haut de gamme, cohérente avec le positionnement commercial de Securits Tech.</w:t>
      </w:r>
    </w:p>
    <w:p>
      <w:pPr>
        <w:pStyle w:val="Heading1"/>
        <w:pBdr>
          <w:bottom w:val="single" w:color="29ABE2" w:sz="6" w:space="4"/>
        </w:pBdr>
        <w:spacing w:after="200" w:before="400"/>
      </w:pPr>
      <w:r>
        <w:rPr>
          <w:rFonts w:ascii="Calibri" w:cs="Calibri" w:eastAsia="Calibri" w:hAnsi="Calibri"/>
          <w:b/>
          <w:bCs/>
          <w:color w:val="29ABE2"/>
          <w:sz w:val="30"/>
          <w:szCs w:val="30"/>
        </w:rPr>
        <w:t xml:space="preserve">2. Description architecturale du bâtiment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600"/>
        <w:gridCol w:w="1750"/>
      </w:tblGrid>
      <w:tr>
        <w:tc>
          <w:tcPr>
            <w:tcW w:type="dxa" w:w="25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Niveau</w:t>
            </w:r>
          </w:p>
        </w:tc>
        <w:tc>
          <w:tcPr>
            <w:tcW w:type="dxa" w:w="35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Composition</w:t>
            </w:r>
          </w:p>
        </w:tc>
        <w:tc>
          <w:tcPr>
            <w:tcW w:type="dxa" w:w="16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Nb logements</w:t>
            </w:r>
          </w:p>
        </w:tc>
        <w:tc>
          <w:tcPr>
            <w:tcW w:type="dxa" w:w="175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Type logement</w:t>
            </w:r>
          </w:p>
        </w:tc>
      </w:tr>
      <w:tr>
        <w:tc>
          <w:tcPr>
            <w:tcW w:type="dxa" w:w="2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Rez-de-chaussée (RDC)</w:t>
            </w:r>
          </w:p>
        </w:tc>
        <w:tc>
          <w:tcPr>
            <w:tcW w:type="dxa" w:w="3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Hall d'entrée + Loge gardien + 1 logement T2</w:t>
            </w:r>
          </w:p>
        </w:tc>
        <w:tc>
          <w:tcPr>
            <w:tcW w:type="dxa" w:w="16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w:t>
            </w:r>
          </w:p>
        </w:tc>
        <w:tc>
          <w:tcPr>
            <w:tcW w:type="dxa" w:w="17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T2 (gardien)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1er étage (R+1)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 appartements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T3 x2</w:t>
            </w:r>
          </w:p>
        </w:tc>
      </w:tr>
      <w:tr>
        <w:tc>
          <w:tcPr>
            <w:tcW w:type="dxa" w:w="2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2e étage (R+2)</w:t>
            </w:r>
          </w:p>
        </w:tc>
        <w:tc>
          <w:tcPr>
            <w:tcW w:type="dxa" w:w="3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 appartements</w:t>
            </w:r>
          </w:p>
        </w:tc>
        <w:tc>
          <w:tcPr>
            <w:tcW w:type="dxa" w:w="16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w:t>
            </w:r>
          </w:p>
        </w:tc>
        <w:tc>
          <w:tcPr>
            <w:tcW w:type="dxa" w:w="17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T3 x2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3e étage (R+3)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 appartements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T4 x2</w:t>
            </w:r>
          </w:p>
        </w:tc>
      </w:tr>
      <w:tr>
        <w:tc>
          <w:tcPr>
            <w:tcW w:type="dxa" w:w="2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4e étage (R+4)</w:t>
            </w:r>
          </w:p>
        </w:tc>
        <w:tc>
          <w:tcPr>
            <w:tcW w:type="dxa" w:w="3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 appartements</w:t>
            </w:r>
          </w:p>
        </w:tc>
        <w:tc>
          <w:tcPr>
            <w:tcW w:type="dxa" w:w="16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w:t>
            </w:r>
          </w:p>
        </w:tc>
        <w:tc>
          <w:tcPr>
            <w:tcW w:type="dxa" w:w="17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T4 x2</w:t>
            </w:r>
          </w:p>
        </w:tc>
      </w:tr>
    </w:tbl>
    <w:p>
      <w:pPr>
        <w:spacing w:after="200"/>
      </w:pPr>
      <w:r>
        <w:rPr>
          <w:rFonts w:ascii="Calibri" w:cs="Calibri" w:eastAsia="Calibri" w:hAnsi="Calibri"/>
          <w:b/>
          <w:bCs/>
          <w:color w:val="222222"/>
          <w:sz w:val="21"/>
          <w:szCs w:val="21"/>
        </w:rPr>
        <w:t xml:space="preserve">Total : 9 logements + parties communes</w:t>
      </w:r>
    </w:p>
    <w:p>
      <w:pPr>
        <w:pStyle w:val="Heading1"/>
        <w:pBdr>
          <w:bottom w:val="single" w:color="29ABE2" w:sz="6" w:space="4"/>
        </w:pBdr>
        <w:spacing w:after="200" w:before="400"/>
      </w:pPr>
      <w:r>
        <w:rPr>
          <w:rFonts w:ascii="Calibri" w:cs="Calibri" w:eastAsia="Calibri" w:hAnsi="Calibri"/>
          <w:b/>
          <w:bCs/>
          <w:color w:val="29ABE2"/>
          <w:sz w:val="30"/>
          <w:szCs w:val="30"/>
        </w:rPr>
        <w:t xml:space="preserve">3. Structure électrique attendue</w:t>
      </w:r>
    </w:p>
    <w:p>
      <w:pPr>
        <w:spacing w:after="140"/>
      </w:pPr>
      <w:r>
        <w:rPr>
          <w:rFonts w:ascii="Calibri" w:cs="Calibri" w:eastAsia="Calibri" w:hAnsi="Calibri"/>
          <w:b w:val="false"/>
          <w:bCs w:val="false"/>
          <w:color w:val="222222"/>
          <w:sz w:val="21"/>
          <w:szCs w:val="21"/>
        </w:rPr>
        <w:t xml:space="preserve">L'architecture électrique de ce bâtiment doit être organisée en plusieurs tableaux distincts, à modéliser séparément dans l'application (fonctionnalité "Mes Tableaux") :</w:t>
      </w:r>
    </w:p>
    <w:p>
      <w:pPr>
        <w:pStyle w:val="ListParagraph"/>
        <w:numPr>
          <w:ilvl w:val="0"/>
          <w:numId w:val="2"/>
        </w:numPr>
        <w:spacing w:after="80"/>
      </w:pPr>
      <w:r>
        <w:rPr>
          <w:rFonts w:ascii="Calibri" w:cs="Calibri" w:eastAsia="Calibri" w:hAnsi="Calibri"/>
          <w:color w:val="222222"/>
          <w:sz w:val="21"/>
          <w:szCs w:val="21"/>
        </w:rPr>
        <w:t xml:space="preserve">TGBT (Tableau Général Basse Tension) — en pied d'immeuble, alimenté directement par le branchement SNE. Il regroupe la protection générale, le parafoudre général, et les départs vers chaque tableau divisionnaire d'appartement ainsi que vers le tableau des services généraux.</w:t>
      </w:r>
    </w:p>
    <w:p>
      <w:pPr>
        <w:pStyle w:val="ListParagraph"/>
        <w:numPr>
          <w:ilvl w:val="0"/>
          <w:numId w:val="2"/>
        </w:numPr>
        <w:spacing w:after="80"/>
      </w:pPr>
      <w:r>
        <w:rPr>
          <w:rFonts w:ascii="Calibri" w:cs="Calibri" w:eastAsia="Calibri" w:hAnsi="Calibri"/>
          <w:color w:val="222222"/>
          <w:sz w:val="21"/>
          <w:szCs w:val="21"/>
        </w:rPr>
        <w:t xml:space="preserve">9 tableaux divisionnaires "Appartement" — un par logement, chacun protégé par un disjoncteur de tête depuis le TGBT, avec leur propre jeu de circuits selon le type de logement (voir section 4).</w:t>
      </w:r>
    </w:p>
    <w:p>
      <w:pPr>
        <w:pStyle w:val="ListParagraph"/>
        <w:numPr>
          <w:ilvl w:val="0"/>
          <w:numId w:val="2"/>
        </w:numPr>
        <w:spacing w:after="80"/>
      </w:pPr>
      <w:r>
        <w:rPr>
          <w:rFonts w:ascii="Calibri" w:cs="Calibri" w:eastAsia="Calibri" w:hAnsi="Calibri"/>
          <w:color w:val="222222"/>
          <w:sz w:val="21"/>
          <w:szCs w:val="21"/>
        </w:rPr>
        <w:t xml:space="preserve">1 tableau "Services Généraux" — pour l'éclairage des circulations communes, l'ascenseur, la pompe de surpression, le portail motorisé et l'éclairage extérieur/parking.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F7941D" w:sz="4"/>
              <w:left w:val="single" w:color="F7941D" w:sz="24"/>
              <w:bottom w:val="single" w:color="F7941D" w:sz="4"/>
              <w:right w:val="single" w:color="F7941D" w:sz="4"/>
            </w:tcBorders>
            <w:shd w:fill="FBFBFB" w:val="clear"/>
            <w:tcMar>
              <w:top w:type="dxa" w:w="160"/>
              <w:left w:type="dxa" w:w="200"/>
              <w:bottom w:type="dxa" w:w="160"/>
              <w:right w:type="dxa" w:w="200"/>
            </w:tcMar>
          </w:tcPr>
          <w:p>
            <w:pPr>
              <w:spacing w:after="80"/>
            </w:pPr>
            <w:r>
              <w:rPr>
                <w:rFonts w:ascii="Calibri" w:cs="Calibri" w:eastAsia="Calibri" w:hAnsi="Calibri"/>
                <w:b/>
                <w:bCs/>
                <w:color w:val="F7941D"/>
                <w:sz w:val="21"/>
                <w:szCs w:val="21"/>
              </w:rPr>
              <w:t xml:space="preserve">Point d'attention pour le test</w:t>
            </w:r>
          </w:p>
          <w:p>
            <w:r>
              <w:rPr>
                <w:rFonts w:ascii="Calibri" w:cs="Calibri" w:eastAsia="Calibri" w:hAnsi="Calibri"/>
                <w:color w:val="333333"/>
                <w:sz w:val="20"/>
                <w:szCs w:val="20"/>
              </w:rPr>
              <w:t xml:space="preserve">L'application doit permettre de créer et gérer ces 11 tableaux (1 TGBT + 9 appartements + 1 services généraux) au sein d'un même projet, avec navigation fluide entre eux via le panneau "Mes Coffrets".</w:t>
            </w:r>
          </w:p>
        </w:tc>
      </w:tr>
    </w:tbl>
    <w:p>
      <w:pPr>
        <w:pStyle w:val="Heading1"/>
        <w:pBdr>
          <w:bottom w:val="single" w:color="29ABE2" w:sz="6" w:space="4"/>
        </w:pBdr>
        <w:spacing w:after="200" w:before="400"/>
      </w:pPr>
      <w:r>
        <w:rPr>
          <w:rFonts w:ascii="Calibri" w:cs="Calibri" w:eastAsia="Calibri" w:hAnsi="Calibri"/>
          <w:b/>
          <w:bCs/>
          <w:color w:val="29ABE2"/>
          <w:sz w:val="30"/>
          <w:szCs w:val="30"/>
        </w:rPr>
        <w:t xml:space="preserve">4. Détail des circuits par appartement type</w:t>
      </w:r>
    </w:p>
    <w:p>
      <w:pPr>
        <w:pStyle w:val="Heading2"/>
        <w:spacing w:after="140" w:before="280"/>
      </w:pPr>
      <w:r>
        <w:rPr>
          <w:rFonts w:ascii="Calibri" w:cs="Calibri" w:eastAsia="Calibri" w:hAnsi="Calibri"/>
          <w:b/>
          <w:bCs/>
          <w:color w:val="8B1E3F"/>
          <w:sz w:val="24"/>
          <w:szCs w:val="24"/>
        </w:rPr>
        <w:t xml:space="preserve">4.1 — Appartement T2 (Gardien, RDC)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700"/>
        <w:gridCol w:w="1450"/>
        <w:gridCol w:w="1500"/>
      </w:tblGrid>
      <w:tr>
        <w:tc>
          <w:tcPr>
            <w:tcW w:type="dxa" w:w="28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Circuit</w:t>
            </w:r>
          </w:p>
        </w:tc>
        <w:tc>
          <w:tcPr>
            <w:tcW w:type="dxa" w:w="19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Protection</w:t>
            </w:r>
          </w:p>
        </w:tc>
        <w:tc>
          <w:tcPr>
            <w:tcW w:type="dxa" w:w="17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Puissance</w:t>
            </w:r>
          </w:p>
        </w:tc>
        <w:tc>
          <w:tcPr>
            <w:tcW w:type="dxa" w:w="145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Section</w:t>
            </w:r>
          </w:p>
        </w:tc>
        <w:tc>
          <w:tcPr>
            <w:tcW w:type="dxa" w:w="15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Longueur</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Éclairage général</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10A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800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12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Prises de courant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3000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18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Cuisinière</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20A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3500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8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Chauffe-eau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20A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2200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6 m</w:t>
            </w:r>
          </w:p>
        </w:tc>
      </w:tr>
    </w:tbl>
    <w:p>
      <w:pPr>
        <w:spacing w:after="260"/>
      </w:pPr>
      <w:r>
        <w:rPr>
          <w:rFonts w:ascii="Calibri" w:cs="Calibri" w:eastAsia="Calibri" w:hAnsi="Calibri"/>
          <w:b w:val="false"/>
          <w:bCs w:val="false"/>
          <w:color w:val="222222"/>
          <w:sz w:val="21"/>
          <w:szCs w:val="21"/>
        </w:rPr>
        <w:t xml:space="preserve">Puissance installée estimée : 9,5 kW — Alimentation monophasée 230V</w:t>
      </w:r>
    </w:p>
    <w:p>
      <w:pPr>
        <w:pStyle w:val="Heading2"/>
        <w:spacing w:after="140" w:before="280"/>
      </w:pPr>
      <w:r>
        <w:rPr>
          <w:rFonts w:ascii="Calibri" w:cs="Calibri" w:eastAsia="Calibri" w:hAnsi="Calibri"/>
          <w:b/>
          <w:bCs/>
          <w:color w:val="8B1E3F"/>
          <w:sz w:val="24"/>
          <w:szCs w:val="24"/>
        </w:rPr>
        <w:t xml:space="preserve">4.2 — Appartement T3 (R+1 et R+2, x4 logements)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700"/>
        <w:gridCol w:w="1450"/>
        <w:gridCol w:w="1500"/>
      </w:tblGrid>
      <w:tr>
        <w:tc>
          <w:tcPr>
            <w:tcW w:type="dxa" w:w="28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Circuit</w:t>
            </w:r>
          </w:p>
        </w:tc>
        <w:tc>
          <w:tcPr>
            <w:tcW w:type="dxa" w:w="19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Protection</w:t>
            </w:r>
          </w:p>
        </w:tc>
        <w:tc>
          <w:tcPr>
            <w:tcW w:type="dxa" w:w="17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Puissance</w:t>
            </w:r>
          </w:p>
        </w:tc>
        <w:tc>
          <w:tcPr>
            <w:tcW w:type="dxa" w:w="145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Section</w:t>
            </w:r>
          </w:p>
        </w:tc>
        <w:tc>
          <w:tcPr>
            <w:tcW w:type="dxa" w:w="15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Longueur</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Éclairage Salon+Chambres</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10A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1000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20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Éclairage Cuisine+SdB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10A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600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14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Prises Salon</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2800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18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Prises Chambres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2800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22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Plaque de cuisson</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32A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6000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6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8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Four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20A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2800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8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Chauffe-eau</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20A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2200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6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Lave-linge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20A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2200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10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Climatiseur Salon</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1800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Climatiseur Chambre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1400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18 m</w:t>
            </w:r>
          </w:p>
        </w:tc>
      </w:tr>
    </w:tbl>
    <w:p>
      <w:pPr>
        <w:spacing w:after="260"/>
      </w:pPr>
      <w:r>
        <w:rPr>
          <w:rFonts w:ascii="Calibri" w:cs="Calibri" w:eastAsia="Calibri" w:hAnsi="Calibri"/>
          <w:b w:val="false"/>
          <w:bCs w:val="false"/>
          <w:color w:val="222222"/>
          <w:sz w:val="21"/>
          <w:szCs w:val="21"/>
        </w:rPr>
        <w:t xml:space="preserve">Puissance installée estimée : 23,4 kW — Alimentation monophasée 230V</w:t>
      </w:r>
    </w:p>
    <w:p>
      <w:pPr>
        <w:pStyle w:val="Heading2"/>
        <w:spacing w:after="140" w:before="280"/>
      </w:pPr>
      <w:r>
        <w:rPr>
          <w:rFonts w:ascii="Calibri" w:cs="Calibri" w:eastAsia="Calibri" w:hAnsi="Calibri"/>
          <w:b/>
          <w:bCs/>
          <w:color w:val="8B1E3F"/>
          <w:sz w:val="24"/>
          <w:szCs w:val="24"/>
        </w:rPr>
        <w:t xml:space="preserve">4.3 — Appartement T4 (R+3 et R+4, x4 logements)</w:t>
      </w:r>
    </w:p>
    <w:p>
      <w:pPr>
        <w:spacing w:after="140"/>
      </w:pPr>
      <w:r>
        <w:rPr>
          <w:rFonts w:ascii="Calibri" w:cs="Calibri" w:eastAsia="Calibri" w:hAnsi="Calibri"/>
          <w:b w:val="false"/>
          <w:bCs w:val="false"/>
          <w:color w:val="222222"/>
          <w:sz w:val="21"/>
          <w:szCs w:val="21"/>
        </w:rPr>
        <w:t xml:space="preserve">Structure identique au T3, avec en complément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700"/>
        <w:gridCol w:w="1450"/>
        <w:gridCol w:w="1500"/>
      </w:tblGrid>
      <w:tr>
        <w:tc>
          <w:tcPr>
            <w:tcW w:type="dxa" w:w="28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Circuit</w:t>
            </w:r>
          </w:p>
        </w:tc>
        <w:tc>
          <w:tcPr>
            <w:tcW w:type="dxa" w:w="19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Protection</w:t>
            </w:r>
          </w:p>
        </w:tc>
        <w:tc>
          <w:tcPr>
            <w:tcW w:type="dxa" w:w="17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Puissance</w:t>
            </w:r>
          </w:p>
        </w:tc>
        <w:tc>
          <w:tcPr>
            <w:tcW w:type="dxa" w:w="145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Section</w:t>
            </w:r>
          </w:p>
        </w:tc>
        <w:tc>
          <w:tcPr>
            <w:tcW w:type="dxa" w:w="15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Longueur</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Éclairage Chambre 3+4</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10A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500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16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Prises Chambres 3+4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2400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20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Climatiseur Chambre 2</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1400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20 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Climatiseur Chambre 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1400 W</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22 m</w:t>
            </w:r>
          </w:p>
        </w:tc>
      </w:tr>
      <w:tr>
        <w:tc>
          <w:tcPr>
            <w:tcW w:type="dxa" w:w="2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Lave-vaisselle</w:t>
            </w:r>
          </w:p>
        </w:tc>
        <w:tc>
          <w:tcPr>
            <w:tcW w:type="dxa" w:w="19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20A</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2200 W</w:t>
            </w:r>
          </w:p>
        </w:tc>
        <w:tc>
          <w:tcPr>
            <w:tcW w:type="dxa" w:w="14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9 m</w:t>
            </w:r>
          </w:p>
        </w:tc>
      </w:tr>
    </w:tbl>
    <w:p>
      <w:pPr>
        <w:spacing w:after="260"/>
      </w:pPr>
      <w:r>
        <w:rPr>
          <w:rFonts w:ascii="Calibri" w:cs="Calibri" w:eastAsia="Calibri" w:hAnsi="Calibri"/>
          <w:b w:val="false"/>
          <w:bCs w:val="false"/>
          <w:color w:val="222222"/>
          <w:sz w:val="21"/>
          <w:szCs w:val="21"/>
        </w:rPr>
        <w:t xml:space="preserve">Puissance installée totale estimée (T4) : 31,3 kW — Alimentation monophasée 230V</w:t>
      </w:r>
    </w:p>
    <w:p>
      <w:r>
        <w:br w:type="page"/>
      </w:r>
    </w:p>
    <w:p>
      <w:pPr>
        <w:pStyle w:val="Heading1"/>
        <w:pBdr>
          <w:bottom w:val="single" w:color="29ABE2" w:sz="6" w:space="4"/>
        </w:pBdr>
        <w:spacing w:after="200" w:before="400"/>
      </w:pPr>
      <w:r>
        <w:rPr>
          <w:rFonts w:ascii="Calibri" w:cs="Calibri" w:eastAsia="Calibri" w:hAnsi="Calibri"/>
          <w:b/>
          <w:bCs/>
          <w:color w:val="29ABE2"/>
          <w:sz w:val="30"/>
          <w:szCs w:val="30"/>
        </w:rPr>
        <w:t xml:space="preserve">5. Parties communes et services généraux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00"/>
        <w:gridCol w:w="1250"/>
        <w:gridCol w:w="1700"/>
      </w:tblGrid>
      <w:tr>
        <w:tc>
          <w:tcPr>
            <w:tcW w:type="dxa" w:w="32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Circuit</w:t>
            </w:r>
          </w:p>
        </w:tc>
        <w:tc>
          <w:tcPr>
            <w:tcW w:type="dxa" w:w="17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Protection</w:t>
            </w:r>
          </w:p>
        </w:tc>
        <w:tc>
          <w:tcPr>
            <w:tcW w:type="dxa" w:w="15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Puissance</w:t>
            </w:r>
          </w:p>
        </w:tc>
        <w:tc>
          <w:tcPr>
            <w:tcW w:type="dxa" w:w="125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Section</w:t>
            </w:r>
          </w:p>
        </w:tc>
        <w:tc>
          <w:tcPr>
            <w:tcW w:type="dxa" w:w="17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Alimentation</w:t>
            </w:r>
          </w:p>
        </w:tc>
      </w:tr>
      <w:tr>
        <w:tc>
          <w:tcPr>
            <w:tcW w:type="dxa" w:w="32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Éclairage circulations (5 niveaux)</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1200 W</w:t>
            </w:r>
          </w:p>
        </w:tc>
        <w:tc>
          <w:tcPr>
            <w:tcW w:type="dxa" w:w="12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mm²</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230V mono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Éclairage extérieur + parking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1500 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230V mono</w:t>
            </w:r>
          </w:p>
        </w:tc>
      </w:tr>
      <w:tr>
        <w:tc>
          <w:tcPr>
            <w:tcW w:type="dxa" w:w="32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Portail motorisé</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10A</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550 W</w:t>
            </w:r>
          </w:p>
        </w:tc>
        <w:tc>
          <w:tcPr>
            <w:tcW w:type="dxa" w:w="12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1,5 mm²</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230V mono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Ascenseur (2 personnes)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4P 32A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5500 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6 mm²</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400V tri</w:t>
            </w:r>
          </w:p>
        </w:tc>
      </w:tr>
      <w:tr>
        <w:tc>
          <w:tcPr>
            <w:tcW w:type="dxa" w:w="32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Pompe de surpression</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4P 20A</w:t>
            </w:r>
          </w:p>
        </w:tc>
        <w:tc>
          <w:tcPr>
            <w:tcW w:type="dxa" w:w="15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3000 W</w:t>
            </w:r>
          </w:p>
        </w:tc>
        <w:tc>
          <w:tcPr>
            <w:tcW w:type="dxa" w:w="125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4 mm²</w:t>
            </w:r>
          </w:p>
        </w:tc>
        <w:tc>
          <w:tcPr>
            <w:tcW w:type="dxa" w:w="17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400V tri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Prises techniques locaux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Disj. 16A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1000 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2,5 mm²</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230V mono</w:t>
            </w:r>
          </w:p>
        </w:tc>
      </w:tr>
    </w:tbl>
    <w:p>
      <w:pPr>
        <w:spacing w:after="260"/>
      </w:pPr>
      <w:r>
        <w:rPr>
          <w:rFonts w:ascii="Calibri" w:cs="Calibri" w:eastAsia="Calibri" w:hAnsi="Calibri"/>
          <w:b w:val="false"/>
          <w:bCs w:val="false"/>
          <w:color w:val="222222"/>
          <w:sz w:val="21"/>
          <w:szCs w:val="21"/>
        </w:rPr>
        <w:t xml:space="preserve">Puissance installée Services Généraux : 12,75 kW</w:t>
      </w:r>
    </w:p>
    <w:p>
      <w:pPr>
        <w:pStyle w:val="Heading1"/>
        <w:pBdr>
          <w:bottom w:val="single" w:color="29ABE2" w:sz="6" w:space="4"/>
        </w:pBdr>
        <w:spacing w:after="200" w:before="400"/>
      </w:pPr>
      <w:r>
        <w:rPr>
          <w:rFonts w:ascii="Calibri" w:cs="Calibri" w:eastAsia="Calibri" w:hAnsi="Calibri"/>
          <w:b/>
          <w:bCs/>
          <w:color w:val="29ABE2"/>
          <w:sz w:val="30"/>
          <w:szCs w:val="30"/>
        </w:rPr>
        <w:t xml:space="preserve">6. Bilan de puissance global et souscription EDF</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200"/>
      </w:tblGrid>
      <w:tr>
        <w:tc>
          <w:tcPr>
            <w:tcW w:type="dxa" w:w="38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Poste</w:t>
            </w:r>
          </w:p>
        </w:tc>
        <w:tc>
          <w:tcPr>
            <w:tcW w:type="dxa" w:w="24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Puissance installée</w:t>
            </w:r>
          </w:p>
        </w:tc>
        <w:tc>
          <w:tcPr>
            <w:tcW w:type="dxa" w:w="2200"/>
            <w:tcBorders>
              <w:top w:val="single" w:color="CCCCCC" w:sz="1"/>
              <w:left w:val="single" w:color="CCCCCC" w:sz="1"/>
              <w:bottom w:val="single" w:color="CCCCCC" w:sz="1"/>
              <w:right w:val="single" w:color="CCCCCC" w:sz="1"/>
            </w:tcBorders>
            <w:shd w:fill="29ABE2"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Nb unités</w:t>
            </w:r>
          </w:p>
        </w:tc>
      </w:tr>
      <w:tr>
        <w:tc>
          <w:tcPr>
            <w:tcW w:type="dxa" w:w="3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Appartement T2 (gardien)</w:t>
            </w:r>
          </w:p>
        </w:tc>
        <w:tc>
          <w:tcPr>
            <w:tcW w:type="dxa" w:w="24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9,5 kW</w:t>
            </w:r>
          </w:p>
        </w:tc>
        <w:tc>
          <w:tcPr>
            <w:tcW w:type="dxa" w:w="22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Appartements 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23,4 kW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4</w:t>
            </w:r>
          </w:p>
        </w:tc>
      </w:tr>
      <w:tr>
        <w:tc>
          <w:tcPr>
            <w:tcW w:type="dxa" w:w="38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Appartements T4</w:t>
            </w:r>
          </w:p>
        </w:tc>
        <w:tc>
          <w:tcPr>
            <w:tcW w:type="dxa" w:w="24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31,3 kW</w:t>
            </w:r>
          </w:p>
        </w:tc>
        <w:tc>
          <w:tcPr>
            <w:tcW w:type="dxa" w:w="220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color w:val="111111"/>
                <w:sz w:val="19"/>
                <w:szCs w:val="19"/>
              </w:rPr>
              <w:t xml:space="preserve">Services Généraux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12,75 kW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color w:val="111111"/>
                <w:sz w:val="19"/>
                <w:szCs w:val="19"/>
              </w:rPr>
              <w:t xml:space="preserve">1</w:t>
            </w:r>
          </w:p>
        </w:tc>
      </w:tr>
    </w:tbl>
    <w:p>
      <w:pPr>
        <w:spacing w:after="140"/>
      </w:pPr>
      <w:r>
        <w:rPr>
          <w:rFonts w:ascii="Calibri" w:cs="Calibri" w:eastAsia="Calibri" w:hAnsi="Calibri"/>
          <w:b w:val="false"/>
          <w:bCs w:val="false"/>
          <w:color w:val="222222"/>
          <w:sz w:val="21"/>
          <w:szCs w:val="21"/>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8B1E3F" w:sz="4"/>
              <w:left w:val="single" w:color="8B1E3F" w:sz="24"/>
              <w:bottom w:val="single" w:color="8B1E3F" w:sz="4"/>
              <w:right w:val="single" w:color="8B1E3F" w:sz="4"/>
            </w:tcBorders>
            <w:shd w:fill="FBFBFB" w:val="clear"/>
            <w:tcMar>
              <w:top w:type="dxa" w:w="160"/>
              <w:left w:type="dxa" w:w="200"/>
              <w:bottom w:type="dxa" w:w="160"/>
              <w:right w:type="dxa" w:w="200"/>
            </w:tcMar>
          </w:tcPr>
          <w:p>
            <w:pPr>
              <w:spacing w:after="80"/>
            </w:pPr>
            <w:r>
              <w:rPr>
                <w:rFonts w:ascii="Calibri" w:cs="Calibri" w:eastAsia="Calibri" w:hAnsi="Calibri"/>
                <w:b/>
                <w:bCs/>
                <w:color w:val="8B1E3F"/>
                <w:sz w:val="21"/>
                <w:szCs w:val="21"/>
              </w:rPr>
              <w:t xml:space="preserve">Calcul à effectuer dans l'application</w:t>
            </w:r>
          </w:p>
          <w:p>
            <w:r>
              <w:rPr>
                <w:rFonts w:ascii="Calibri" w:cs="Calibri" w:eastAsia="Calibri" w:hAnsi="Calibri"/>
                <w:color w:val="333333"/>
                <w:sz w:val="20"/>
                <w:szCs w:val="20"/>
              </w:rPr>
              <w:t xml:space="preserve">Puissance installée théorique totale ≈ 9,5 + (23,4×4) + (31,3×4) + 12,75 = 241,05 kW. Avec un coefficient de foisonnement réaliste pour un collectif résidentiel (généralement 0,3 à 0,5 selon le nombre de logements, cf. norme NF C 14-100 pour les colonnes montantes), la puissance simultanée réelle attendue se situe plutôt entre 90 et 120 kW. Le test consiste à vérifier que l'application applique un foisonnement cohérent avec le nombre de logements, et non le coefficient fixe de 0,90 utilisé jusqu'ici pour un seul appartement.</w:t>
            </w:r>
          </w:p>
        </w:tc>
      </w:tr>
    </w:tbl>
    <w:p>
      <w:r>
        <w:br w:type="page"/>
      </w:r>
    </w:p>
    <w:p>
      <w:pPr>
        <w:pStyle w:val="Heading1"/>
        <w:pBdr>
          <w:bottom w:val="single" w:color="29ABE2" w:sz="6" w:space="4"/>
        </w:pBdr>
        <w:spacing w:after="200" w:before="400"/>
      </w:pPr>
      <w:r>
        <w:rPr>
          <w:rFonts w:ascii="Calibri" w:cs="Calibri" w:eastAsia="Calibri" w:hAnsi="Calibri"/>
          <w:b/>
          <w:bCs/>
          <w:color w:val="29ABE2"/>
          <w:sz w:val="30"/>
          <w:szCs w:val="30"/>
        </w:rPr>
        <w:t xml:space="preserve">7. Pièges volontaires à détecter (test de validation)</w:t>
      </w:r>
    </w:p>
    <w:p>
      <w:pPr>
        <w:spacing w:after="140"/>
      </w:pPr>
      <w:r>
        <w:rPr>
          <w:rFonts w:ascii="Calibri" w:cs="Calibri" w:eastAsia="Calibri" w:hAnsi="Calibri"/>
          <w:b w:val="false"/>
          <w:bCs w:val="false"/>
          <w:color w:val="222222"/>
          <w:sz w:val="21"/>
          <w:szCs w:val="21"/>
        </w:rPr>
        <w:t xml:space="preserve">Pour valider que le moteur de vérification NF C 15-100 de l'application fonctionne correctement sur un cas complexe, introduis volontairement les anomalies suivantes lors de la saisie, puis vérifie qu'elles sont bien détectées :</w:t>
      </w:r>
    </w:p>
    <w:p>
      <w:pPr>
        <w:pStyle w:val="Heading2"/>
        <w:spacing w:after="140" w:before="280"/>
      </w:pPr>
      <w:r>
        <w:rPr>
          <w:rFonts w:ascii="Calibri" w:cs="Calibri" w:eastAsia="Calibri" w:hAnsi="Calibri"/>
          <w:b/>
          <w:bCs/>
          <w:color w:val="8B1E3F"/>
          <w:sz w:val="24"/>
          <w:szCs w:val="24"/>
        </w:rPr>
        <w:t xml:space="preserve">Piège 1 — Rangée sans différentiel</w:t>
      </w:r>
    </w:p>
    <w:p>
      <w:pPr>
        <w:spacing w:after="140"/>
      </w:pPr>
      <w:r>
        <w:rPr>
          <w:rFonts w:ascii="Calibri" w:cs="Calibri" w:eastAsia="Calibri" w:hAnsi="Calibri"/>
          <w:b w:val="false"/>
          <w:bCs w:val="false"/>
          <w:color w:val="222222"/>
          <w:sz w:val="21"/>
          <w:szCs w:val="21"/>
        </w:rPr>
        <w:t xml:space="preserve">Dans le tableau de l'appartement T3 du R+1, place au moins un disjoncteur divisionnaire directement sur une rangée sans interrupteur différentiel en tête. L'application doit détecter et signaler cette non-conformité.</w:t>
      </w:r>
    </w:p>
    <w:p>
      <w:pPr>
        <w:pStyle w:val="Heading2"/>
        <w:spacing w:after="140" w:before="280"/>
      </w:pPr>
      <w:r>
        <w:rPr>
          <w:rFonts w:ascii="Calibri" w:cs="Calibri" w:eastAsia="Calibri" w:hAnsi="Calibri"/>
          <w:b/>
          <w:bCs/>
          <w:color w:val="8B1E3F"/>
          <w:sz w:val="24"/>
          <w:szCs w:val="24"/>
        </w:rPr>
        <w:t xml:space="preserve">Piège 2 — Calibre insuffisant</w:t>
      </w:r>
    </w:p>
    <w:p>
      <w:pPr>
        <w:spacing w:after="140"/>
      </w:pPr>
      <w:r>
        <w:rPr>
          <w:rFonts w:ascii="Calibri" w:cs="Calibri" w:eastAsia="Calibri" w:hAnsi="Calibri"/>
          <w:b w:val="false"/>
          <w:bCs w:val="false"/>
          <w:color w:val="222222"/>
          <w:sz w:val="21"/>
          <w:szCs w:val="21"/>
        </w:rPr>
        <w:t xml:space="preserve">Sur le circuit "Plaque de cuisson" d'un T4, affecte volontairement un disjoncteur de 20A au lieu de 32A pour une puissance de 6000W. Vérifie que l'alerte "courant autorisé insuffisant" apparaît (Ib théorique ≈ 26A pour 6000W en 230V, donc 20A est sous-dimensionné).</w:t>
      </w:r>
    </w:p>
    <w:p>
      <w:pPr>
        <w:pStyle w:val="Heading2"/>
        <w:spacing w:after="140" w:before="280"/>
      </w:pPr>
      <w:r>
        <w:rPr>
          <w:rFonts w:ascii="Calibri" w:cs="Calibri" w:eastAsia="Calibri" w:hAnsi="Calibri"/>
          <w:b/>
          <w:bCs/>
          <w:color w:val="8B1E3F"/>
          <w:sz w:val="24"/>
          <w:szCs w:val="24"/>
        </w:rPr>
        <w:t xml:space="preserve">Piège 3 — Chute de tension excessive</w:t>
      </w:r>
    </w:p>
    <w:p>
      <w:pPr>
        <w:spacing w:after="140"/>
      </w:pPr>
      <w:r>
        <w:rPr>
          <w:rFonts w:ascii="Calibri" w:cs="Calibri" w:eastAsia="Calibri" w:hAnsi="Calibri"/>
          <w:b w:val="false"/>
          <w:bCs w:val="false"/>
          <w:color w:val="222222"/>
          <w:sz w:val="21"/>
          <w:szCs w:val="21"/>
        </w:rPr>
        <w:t xml:space="preserve">Sur un circuit d'éclairage du R+4 (donc le plus éloigné du TGBT), utilise une longueur de câble volontairement excessive (60m) avec une section de 1,5mm². Vérifie que le calcul de chute de tension dépasse le seuil de 3% et déclenche une alerte.</w:t>
      </w:r>
    </w:p>
    <w:p>
      <w:pPr>
        <w:pStyle w:val="Heading2"/>
        <w:spacing w:after="140" w:before="280"/>
      </w:pPr>
      <w:r>
        <w:rPr>
          <w:rFonts w:ascii="Calibri" w:cs="Calibri" w:eastAsia="Calibri" w:hAnsi="Calibri"/>
          <w:b/>
          <w:bCs/>
          <w:color w:val="8B1E3F"/>
          <w:sz w:val="24"/>
          <w:szCs w:val="24"/>
        </w:rPr>
        <w:t xml:space="preserve">Piège 4 — Différentiel sous-dimensionné pour la somme des circuits</w:t>
      </w:r>
    </w:p>
    <w:p>
      <w:pPr>
        <w:spacing w:after="140"/>
      </w:pPr>
      <w:r>
        <w:rPr>
          <w:rFonts w:ascii="Calibri" w:cs="Calibri" w:eastAsia="Calibri" w:hAnsi="Calibri"/>
          <w:b w:val="false"/>
          <w:bCs w:val="false"/>
          <w:color w:val="222222"/>
          <w:sz w:val="21"/>
          <w:szCs w:val="21"/>
        </w:rPr>
        <w:t xml:space="preserve">Sur le tableau Services Généraux, affecte un différentiel de 25A en tête alors que la somme des circuits en aval (ascenseur 4P 32A + pompe 4P 20A + autres) dépasse largement cette valeur. Vérifie que la règle de l'aval est bien appliquée.</w:t>
      </w:r>
    </w:p>
    <w:p>
      <w:pPr>
        <w:pStyle w:val="Heading2"/>
        <w:spacing w:after="140" w:before="280"/>
      </w:pPr>
      <w:r>
        <w:rPr>
          <w:rFonts w:ascii="Calibri" w:cs="Calibri" w:eastAsia="Calibri" w:hAnsi="Calibri"/>
          <w:b/>
          <w:bCs/>
          <w:color w:val="8B1E3F"/>
          <w:sz w:val="24"/>
          <w:szCs w:val="24"/>
        </w:rPr>
        <w:t xml:space="preserve">Piège 5 — Confusion mono/triphasé</w:t>
      </w:r>
    </w:p>
    <w:p>
      <w:pPr>
        <w:spacing w:after="140"/>
      </w:pPr>
      <w:r>
        <w:rPr>
          <w:rFonts w:ascii="Calibri" w:cs="Calibri" w:eastAsia="Calibri" w:hAnsi="Calibri"/>
          <w:b w:val="false"/>
          <w:bCs w:val="false"/>
          <w:color w:val="222222"/>
          <w:sz w:val="21"/>
          <w:szCs w:val="21"/>
        </w:rPr>
        <w:t xml:space="preserve">Vérifie que l'ascenseur et la pompe de surpression (tous deux en 400V triphasé) sont bien traités séparément des circuits monophasés dans le bilan de puissance du tableau Services Généraux, sans faire basculer artificiellement tout le tableau en triphasé si un seul récepteur l'est (cf. bug déjà corrigé sur PowerBalance.tsx — ce test sert de non-régression).</w:t>
      </w:r>
    </w:p>
    <w:p>
      <w:pPr>
        <w:pStyle w:val="Heading1"/>
        <w:pBdr>
          <w:bottom w:val="single" w:color="29ABE2" w:sz="6" w:space="4"/>
        </w:pBdr>
        <w:spacing w:after="200" w:before="400"/>
      </w:pPr>
      <w:r>
        <w:rPr>
          <w:rFonts w:ascii="Calibri" w:cs="Calibri" w:eastAsia="Calibri" w:hAnsi="Calibri"/>
          <w:b/>
          <w:bCs/>
          <w:color w:val="29ABE2"/>
          <w:sz w:val="30"/>
          <w:szCs w:val="30"/>
        </w:rPr>
        <w:t xml:space="preserve">8. Critères de réussite du test</w:t>
      </w:r>
    </w:p>
    <w:p>
      <w:pPr>
        <w:pStyle w:val="ListParagraph"/>
        <w:numPr>
          <w:ilvl w:val="0"/>
          <w:numId w:val="2"/>
        </w:numPr>
        <w:spacing w:after="80"/>
      </w:pPr>
      <w:r>
        <w:rPr>
          <w:rFonts w:ascii="Calibri" w:cs="Calibri" w:eastAsia="Calibri" w:hAnsi="Calibri"/>
          <w:color w:val="222222"/>
          <w:sz w:val="21"/>
          <w:szCs w:val="21"/>
        </w:rPr>
        <w:t xml:space="preserve">Les 11 tableaux sont créés et navigables sans perte de données après fermeture/réouverture du navigateur.</w:t>
      </w:r>
    </w:p>
    <w:p>
      <w:pPr>
        <w:pStyle w:val="ListParagraph"/>
        <w:numPr>
          <w:ilvl w:val="0"/>
          <w:numId w:val="2"/>
        </w:numPr>
        <w:spacing w:after="80"/>
      </w:pPr>
      <w:r>
        <w:rPr>
          <w:rFonts w:ascii="Calibri" w:cs="Calibri" w:eastAsia="Calibri" w:hAnsi="Calibri"/>
          <w:color w:val="222222"/>
          <w:sz w:val="21"/>
          <w:szCs w:val="21"/>
        </w:rPr>
        <w:t xml:space="preserve">Chaque circuit saisi calcule correctement Ib, section recommandée, et chute de tension.</w:t>
      </w:r>
    </w:p>
    <w:p>
      <w:pPr>
        <w:pStyle w:val="ListParagraph"/>
        <w:numPr>
          <w:ilvl w:val="0"/>
          <w:numId w:val="2"/>
        </w:numPr>
        <w:spacing w:after="80"/>
      </w:pPr>
      <w:r>
        <w:rPr>
          <w:rFonts w:ascii="Calibri" w:cs="Calibri" w:eastAsia="Calibri" w:hAnsi="Calibri"/>
          <w:color w:val="222222"/>
          <w:sz w:val="21"/>
          <w:szCs w:val="21"/>
        </w:rPr>
        <w:t xml:space="preserve">Les 5 pièges volontaires sont détectés par l'onglet Validation, avec un message clair pour chacun.</w:t>
      </w:r>
    </w:p>
    <w:p>
      <w:pPr>
        <w:pStyle w:val="ListParagraph"/>
        <w:numPr>
          <w:ilvl w:val="0"/>
          <w:numId w:val="2"/>
        </w:numPr>
        <w:spacing w:after="80"/>
      </w:pPr>
      <w:r>
        <w:rPr>
          <w:rFonts w:ascii="Calibri" w:cs="Calibri" w:eastAsia="Calibri" w:hAnsi="Calibri"/>
          <w:color w:val="222222"/>
          <w:sz w:val="21"/>
          <w:szCs w:val="21"/>
        </w:rPr>
        <w:t xml:space="preserve">Le bilan de puissance global (accessible via le TGBT) agrège correctement les 11 tableaux, avec un coefficient de foisonnement cohérent pour un collectif de 9 logements.</w:t>
      </w:r>
    </w:p>
    <w:p>
      <w:pPr>
        <w:pStyle w:val="ListParagraph"/>
        <w:numPr>
          <w:ilvl w:val="0"/>
          <w:numId w:val="2"/>
        </w:numPr>
        <w:spacing w:after="80"/>
      </w:pPr>
      <w:r>
        <w:rPr>
          <w:rFonts w:ascii="Calibri" w:cs="Calibri" w:eastAsia="Calibri" w:hAnsi="Calibri"/>
          <w:color w:val="222222"/>
          <w:sz w:val="21"/>
          <w:szCs w:val="21"/>
        </w:rPr>
        <w:t xml:space="preserve">L'export PDF du TGBT produit un document complet : page de garde, schéma unifilaire, tableau des circuits, rapport de conformité listant les 5 anomalies.</w:t>
      </w:r>
    </w:p>
    <w:p>
      <w:pPr>
        <w:pStyle w:val="ListParagraph"/>
        <w:numPr>
          <w:ilvl w:val="0"/>
          <w:numId w:val="2"/>
        </w:numPr>
        <w:spacing w:after="80"/>
      </w:pPr>
      <w:r>
        <w:rPr>
          <w:rFonts w:ascii="Calibri" w:cs="Calibri" w:eastAsia="Calibri" w:hAnsi="Calibri"/>
          <w:color w:val="222222"/>
          <w:sz w:val="21"/>
          <w:szCs w:val="21"/>
        </w:rPr>
        <w:t xml:space="preserve">L'assistant IA répond correctement à une question portant sur ce cas complexe, par exemple : "Quel calibre de différentiel pour le tableau Services Généraux avec ascenseur et pompe ?"</w:t>
      </w:r>
    </w:p>
    <w:p>
      <w:pPr>
        <w:pStyle w:val="ListParagraph"/>
        <w:numPr>
          <w:ilvl w:val="0"/>
          <w:numId w:val="2"/>
        </w:numPr>
        <w:spacing w:after="80"/>
      </w:pPr>
      <w:r>
        <w:rPr>
          <w:rFonts w:ascii="Calibri" w:cs="Calibri" w:eastAsia="Calibri" w:hAnsi="Calibri"/>
          <w:color w:val="222222"/>
          <w:sz w:val="21"/>
          <w:szCs w:val="21"/>
        </w:rPr>
        <w:t xml:space="preserve">Le temps total de saisie de l'ensemble du projet reste raisonnable (moins de 2h pour un utilisateur qui maîtrise déjà l'application), ce qui valide l'ergonomie du drag-and-drop à l'échelle d'un vrai projet.</w:t>
      </w:r>
    </w:p>
    <w:p>
      <w:pPr>
        <w:pStyle w:val="Heading1"/>
        <w:pBdr>
          <w:bottom w:val="single" w:color="29ABE2" w:sz="6" w:space="4"/>
        </w:pBdr>
        <w:spacing w:after="200" w:before="400"/>
      </w:pPr>
      <w:r>
        <w:rPr>
          <w:rFonts w:ascii="Calibri" w:cs="Calibri" w:eastAsia="Calibri" w:hAnsi="Calibri"/>
          <w:b/>
          <w:bCs/>
          <w:color w:val="29ABE2"/>
          <w:sz w:val="30"/>
          <w:szCs w:val="30"/>
        </w:rPr>
        <w:t xml:space="preserve">9. Livrables attendus</w:t>
      </w:r>
    </w:p>
    <w:p>
      <w:pPr>
        <w:pStyle w:val="ListParagraph"/>
        <w:numPr>
          <w:ilvl w:val="0"/>
          <w:numId w:val="3"/>
        </w:numPr>
        <w:spacing w:after="80"/>
      </w:pPr>
      <w:r>
        <w:rPr>
          <w:rFonts w:ascii="Calibri" w:cs="Calibri" w:eastAsia="Calibri" w:hAnsi="Calibri"/>
          <w:color w:val="222222"/>
          <w:sz w:val="21"/>
          <w:szCs w:val="21"/>
        </w:rPr>
        <w:t xml:space="preserve">Le projet complet sauvegardé dans l'application (11 tableaux)</w:t>
      </w:r>
    </w:p>
    <w:p>
      <w:pPr>
        <w:pStyle w:val="ListParagraph"/>
        <w:numPr>
          <w:ilvl w:val="0"/>
          <w:numId w:val="3"/>
        </w:numPr>
        <w:spacing w:after="80"/>
      </w:pPr>
      <w:r>
        <w:rPr>
          <w:rFonts w:ascii="Calibri" w:cs="Calibri" w:eastAsia="Calibri" w:hAnsi="Calibri"/>
          <w:color w:val="222222"/>
          <w:sz w:val="21"/>
          <w:szCs w:val="21"/>
        </w:rPr>
        <w:t xml:space="preserve">Le PDF technique du TGBT (note de calcul + schéma + conformité)</w:t>
      </w:r>
    </w:p>
    <w:p>
      <w:pPr>
        <w:pStyle w:val="ListParagraph"/>
        <w:numPr>
          <w:ilvl w:val="0"/>
          <w:numId w:val="3"/>
        </w:numPr>
        <w:spacing w:after="80"/>
      </w:pPr>
      <w:r>
        <w:rPr>
          <w:rFonts w:ascii="Calibri" w:cs="Calibri" w:eastAsia="Calibri" w:hAnsi="Calibri"/>
          <w:color w:val="222222"/>
          <w:sz w:val="21"/>
          <w:szCs w:val="21"/>
        </w:rPr>
        <w:t xml:space="preserve">Le PDF technique d'au moins un tableau divisionnaire (ex : un T3)</w:t>
      </w:r>
    </w:p>
    <w:p>
      <w:pPr>
        <w:pStyle w:val="ListParagraph"/>
        <w:numPr>
          <w:ilvl w:val="0"/>
          <w:numId w:val="3"/>
        </w:numPr>
        <w:spacing w:after="80"/>
      </w:pPr>
      <w:r>
        <w:rPr>
          <w:rFonts w:ascii="Calibri" w:cs="Calibri" w:eastAsia="Calibri" w:hAnsi="Calibri"/>
          <w:color w:val="222222"/>
          <w:sz w:val="21"/>
          <w:szCs w:val="21"/>
        </w:rPr>
        <w:t xml:space="preserve">Une capture d'écran de l'onglet Validation montrant les 5 anomalies détectées</w:t>
      </w:r>
    </w:p>
    <w:p>
      <w:pPr>
        <w:pStyle w:val="ListParagraph"/>
        <w:numPr>
          <w:ilvl w:val="0"/>
          <w:numId w:val="3"/>
        </w:numPr>
        <w:spacing w:after="80"/>
      </w:pPr>
      <w:r>
        <w:rPr>
          <w:rFonts w:ascii="Calibri" w:cs="Calibri" w:eastAsia="Calibri" w:hAnsi="Calibri"/>
          <w:color w:val="222222"/>
          <w:sz w:val="21"/>
          <w:szCs w:val="21"/>
        </w:rPr>
        <w:t xml:space="preserve">Une note personnelle listant tout dysfonctionnement ou lenteur rencontré pendant le test, pour amélioration future de l'application</w:t>
      </w:r>
    </w:p>
    <w:p>
      <w:pPr>
        <w:pBdr>
          <w:top w:val="single" w:color="CCCCCC" w:sz="6" w:space="8"/>
        </w:pBdr>
        <w:spacing w:after="160" w:before="400"/>
      </w:pPr>
      <w:r>
        <w:rPr>
          <w:sz w:val="2"/>
          <w:szCs w:val="2"/>
        </w:rPr>
        <w:t xml:space="preserve"/>
      </w:r>
    </w:p>
    <w:p>
      <w:pPr>
        <w:spacing w:after="140"/>
      </w:pPr>
      <w:r>
        <w:rPr>
          <w:rFonts w:ascii="Calibri" w:cs="Calibri" w:eastAsia="Calibri" w:hAnsi="Calibri"/>
          <w:b w:val="false"/>
          <w:bCs w:val="false"/>
          <w:color w:val="222222"/>
          <w:sz w:val="21"/>
          <w:szCs w:val="21"/>
        </w:rPr>
        <w:t xml:space="preserve">Ce cas pratique est conçu pour représenter fidèlement la complexité d'un vrai projet d'immeuble collectif à Pointe-Noire, du type que Securits Tech est susceptible de rencontrer avec sa clientèle moyenne/haut de gamme. Le réussir valide que l'application est prête pour un usage professionnel réel, au-delà d'un simple prototype de démonstration.</w:t>
      </w:r>
    </w:p>
    <w:p>
      <w:pPr>
        <w:spacing w:before="280"/>
      </w:pPr>
      <w:r>
        <w:rPr>
          <w:b/>
          <w:bCs/>
          <w:sz w:val="21"/>
          <w:szCs w:val="21"/>
        </w:rPr>
        <w:t xml:space="preserve">Jacques Alphonse MATOKO</w:t>
      </w:r>
      <w:r>
        <w:rPr>
          <w:color w:val="555555"/>
          <w:sz w:val="19"/>
          <w:szCs w:val="19"/>
        </w:rPr>
        <w:t xml:space="preserve">  —  Fondateur, Securits Technologies  —  Pointe-Noire, République du Congo</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2026-07-05T02:33:43.264Z</dcterms:created>
  <dcterms:modified xsi:type="dcterms:W3CDTF">2026-07-05T02:33:43.264Z</dcterms:modified>
</cp:coreProperties>
</file>

<file path=docProps/custom.xml><?xml version="1.0" encoding="utf-8"?>
<Properties xmlns="http://schemas.openxmlformats.org/officeDocument/2006/custom-properties" xmlns:vt="http://schemas.openxmlformats.org/officeDocument/2006/docPropsVTypes"/>
</file>