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595959"/>
          <w:sz w:val="22"/>
        </w:rPr>
        <w:t>IJC437 - INTRODUCTION TO DATA SCIENCE</w:t>
      </w:r>
    </w:p>
    <w:p>
      <w:pPr>
        <w:spacing w:before="0" w:after="0"/>
        <w:jc w:val="center"/>
      </w:pPr>
      <w:r>
        <w:rPr>
          <w:rFonts w:ascii="Times New Roman" w:hAnsi="Times New Roman"/>
          <w:b w:val="0"/>
          <w:i w:val="0"/>
          <w:color w:val="595959"/>
          <w:sz w:val="20"/>
        </w:rPr>
        <w:t>Coursework 2025-26 (Reassessment)</w:t>
      </w:r>
    </w:p>
    <w:p/>
    <w:p/>
    <w:p/>
    <w:p/>
    <w:p>
      <w:pPr>
        <w:spacing w:after="0"/>
        <w:pBdr>
          <w:bottom w:val="single" w:sz="12" w:space="1" w:color="000000"/>
        </w:pBdr>
      </w:pPr>
    </w:p>
    <w:p>
      <w:pPr>
        <w:spacing w:before="560" w:after="0"/>
        <w:jc w:val="center"/>
      </w:pPr>
      <w:r>
        <w:rPr>
          <w:rFonts w:ascii="Times New Roman" w:hAnsi="Times New Roman"/>
          <w:b/>
          <w:i w:val="0"/>
          <w:color w:val="000000"/>
          <w:sz w:val="48"/>
        </w:rPr>
        <w:t>Uneven Recovery of UK Rail</w:t>
      </w:r>
    </w:p>
    <w:p>
      <w:pPr>
        <w:spacing w:before="0" w:after="40"/>
        <w:jc w:val="center"/>
      </w:pPr>
      <w:r>
        <w:rPr>
          <w:rFonts w:ascii="Times New Roman" w:hAnsi="Times New Roman"/>
          <w:b/>
          <w:i w:val="0"/>
          <w:color w:val="000000"/>
          <w:sz w:val="48"/>
        </w:rPr>
        <w:t>Passenger Usage After COVID-19</w:t>
      </w:r>
    </w:p>
    <w:p>
      <w:pPr>
        <w:spacing w:before="160" w:after="480"/>
        <w:jc w:val="center"/>
      </w:pPr>
      <w:r>
        <w:rPr>
          <w:rFonts w:ascii="Times New Roman" w:hAnsi="Times New Roman"/>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Times New Roman" w:hAnsi="Times New Roman"/>
          <w:b/>
          <w:i w:val="0"/>
          <w:color w:val="000000"/>
          <w:sz w:val="21"/>
        </w:rPr>
        <w:t xml:space="preserve">Module   </w:t>
      </w:r>
      <w:r>
        <w:rPr>
          <w:rFonts w:ascii="Times New Roman" w:hAnsi="Times New Roman"/>
          <w:b w:val="0"/>
          <w:i w:val="0"/>
          <w:color w:val="262626"/>
          <w:sz w:val="21"/>
        </w:rPr>
        <w:t>IJC437 Introduction to Data Science</w:t>
      </w:r>
    </w:p>
    <w:p>
      <w:pPr>
        <w:spacing w:before="0" w:after="120"/>
        <w:jc w:val="center"/>
      </w:pPr>
      <w:r>
        <w:rPr>
          <w:rFonts w:ascii="Times New Roman" w:hAnsi="Times New Roman"/>
          <w:b/>
          <w:i w:val="0"/>
          <w:color w:val="000000"/>
          <w:sz w:val="21"/>
        </w:rPr>
        <w:t xml:space="preserve">Registration number   </w:t>
      </w:r>
      <w:r>
        <w:rPr>
          <w:rFonts w:ascii="Times New Roman" w:hAnsi="Times New Roman"/>
          <w:b w:val="0"/>
          <w:i w:val="0"/>
          <w:color w:val="262626"/>
          <w:sz w:val="21"/>
        </w:rPr>
        <w:t>250124790</w:t>
      </w:r>
    </w:p>
    <w:p>
      <w:pPr>
        <w:spacing w:before="0" w:after="120"/>
        <w:jc w:val="center"/>
      </w:pPr>
      <w:r>
        <w:rPr>
          <w:rFonts w:ascii="Times New Roman" w:hAnsi="Times New Roman"/>
          <w:b/>
          <w:i w:val="0"/>
          <w:color w:val="000000"/>
          <w:sz w:val="21"/>
        </w:rPr>
        <w:t xml:space="preserve">GitHub   </w:t>
      </w:r>
      <w:r>
        <w:rPr>
          <w:rFonts w:ascii="Times New Roman" w:hAnsi="Times New Roman"/>
          <w:b w:val="0"/>
          <w:i w:val="0"/>
          <w:color w:val="262626"/>
          <w:sz w:val="21"/>
        </w:rPr>
        <w:t>https://github.com/Qjins/IJC437-UK-Rail-Recovery</w:t>
      </w:r>
    </w:p>
    <w:p>
      <w:pPr>
        <w:spacing w:before="0" w:after="120"/>
        <w:jc w:val="center"/>
      </w:pPr>
      <w:r>
        <w:rPr>
          <w:rFonts w:ascii="Times New Roman" w:hAnsi="Times New Roman"/>
          <w:b/>
          <w:i w:val="0"/>
          <w:color w:val="000000"/>
          <w:sz w:val="21"/>
        </w:rPr>
        <w:t xml:space="preserve">Word count   </w:t>
      </w:r>
      <w:r>
        <w:rPr>
          <w:rFonts w:ascii="Times New Roman" w:hAnsi="Times New Roman"/>
          <w:b w:val="0"/>
          <w:i w:val="0"/>
          <w:color w:val="262626"/>
          <w:sz w:val="21"/>
        </w:rPr>
        <w:t>2,999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largely through homeworking (Magriço et al., 2023), and hybrid working remains concentrated in professional occupations and in London and the South East (Office for National Statistics [ONS], 2022,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national-average decisions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station-level variation,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Times New Roman" w:hAnsi="Times New Roman"/>
          <w:b/>
          <w:i/>
          <w:color w:val="595959"/>
          <w:sz w:val="19"/>
        </w:rPr>
        <w:t xml:space="preserve">Figure 1. </w:t>
      </w:r>
      <w:r>
        <w:rPr>
          <w:rFonts w:ascii="Times New Roman" w:hAnsi="Times New Roman"/>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Times New Roman" w:hAnsi="Times New Roman"/>
          <w:b/>
          <w:i/>
          <w:color w:val="595959"/>
          <w:sz w:val="19"/>
        </w:rPr>
        <w:t xml:space="preserve">Table 1. </w:t>
      </w:r>
      <w:r>
        <w:rPr>
          <w:rFonts w:ascii="Times New Roman" w:hAnsi="Times New Roman"/>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Times New Roman" w:hAnsi="Times New Roman"/>
                <w:b/>
                <w:color w:val="1F3864"/>
                <w:sz w:val="18"/>
              </w:rPr>
              <w:t>Dataset</w:t>
            </w:r>
          </w:p>
        </w:tc>
        <w:tc>
          <w:tcPr>
            <w:tcW w:type="dxa" w:w="3969"/>
            <w:shd w:val="clear" w:fill="EDF1F8"/>
          </w:tcPr>
          <w:p>
            <w:pPr>
              <w:keepNext/>
              <w:spacing w:after="0" w:line="252" w:lineRule="auto"/>
            </w:pPr>
            <w:r/>
            <w:r>
              <w:rPr>
                <w:rFonts w:ascii="Times New Roman" w:hAnsi="Times New Roman"/>
                <w:b/>
                <w:color w:val="1F3864"/>
                <w:sz w:val="18"/>
              </w:rPr>
              <w:t>Content</w:t>
            </w:r>
          </w:p>
        </w:tc>
        <w:tc>
          <w:tcPr>
            <w:tcW w:type="dxa" w:w="1928"/>
            <w:shd w:val="clear" w:fill="EDF1F8"/>
          </w:tcPr>
          <w:p>
            <w:pPr>
              <w:keepNext/>
              <w:spacing w:after="0" w:line="252" w:lineRule="auto"/>
            </w:pPr>
            <w:r/>
            <w:r>
              <w:rPr>
                <w:rFonts w:ascii="Times New Roman" w:hAnsi="Times New Roman"/>
                <w:b/>
                <w:color w:val="1F3864"/>
                <w:sz w:val="18"/>
              </w:rPr>
              <w:t>Coverage</w:t>
            </w:r>
          </w:p>
        </w:tc>
        <w:tc>
          <w:tcPr>
            <w:tcW w:type="dxa" w:w="1701"/>
            <w:shd w:val="clear" w:fill="EDF1F8"/>
          </w:tcPr>
          <w:p>
            <w:pPr>
              <w:keepNext/>
              <w:spacing w:after="0" w:line="252" w:lineRule="auto"/>
            </w:pPr>
            <w:r/>
            <w:r>
              <w:rPr>
                <w:rFonts w:ascii="Times New Roman" w:hAnsi="Times New Roman"/>
                <w:b/>
                <w:color w:val="1F3864"/>
                <w:sz w:val="18"/>
              </w:rPr>
              <w:t>Size after cleaning</w:t>
            </w:r>
          </w:p>
        </w:tc>
      </w:tr>
      <w:tr>
        <w:trPr>
          <w:cantSplit/>
        </w:trPr>
        <w:tc>
          <w:tcPr>
            <w:tcW w:type="dxa" w:w="1814"/>
          </w:tcPr>
          <w:p>
            <w:pPr>
              <w:keepNext/>
              <w:spacing w:after="0" w:line="252" w:lineRule="auto"/>
            </w:pPr>
            <w:r/>
            <w:r>
              <w:rPr>
                <w:rFonts w:ascii="Times New Roman" w:hAnsi="Times New Roman"/>
                <w:b w:val="0"/>
                <w:color w:val="262626"/>
                <w:sz w:val="18"/>
              </w:rPr>
              <w:t>ORR Table 1510</w:t>
            </w:r>
          </w:p>
        </w:tc>
        <w:tc>
          <w:tcPr>
            <w:tcW w:type="dxa" w:w="3969"/>
          </w:tcPr>
          <w:p>
            <w:pPr>
              <w:keepNext/>
              <w:spacing w:after="0" w:line="252" w:lineRule="auto"/>
            </w:pPr>
            <w:r/>
            <w:r>
              <w:rPr>
                <w:rFonts w:ascii="Times New Roman" w:hAnsi="Times New Roman"/>
                <w:b w:val="0"/>
                <w:color w:val="262626"/>
                <w:sz w:val="18"/>
              </w:rPr>
              <w:t>National passenger journeys between and within England, Scotland and Wales</w:t>
            </w:r>
          </w:p>
        </w:tc>
        <w:tc>
          <w:tcPr>
            <w:tcW w:type="dxa" w:w="1928"/>
          </w:tcPr>
          <w:p>
            <w:pPr>
              <w:keepNext/>
              <w:spacing w:after="0" w:line="252" w:lineRule="auto"/>
            </w:pPr>
            <w:r/>
            <w:r>
              <w:rPr>
                <w:rFonts w:ascii="Times New Roman" w:hAnsi="Times New Roman"/>
                <w:b w:val="0"/>
                <w:color w:val="262626"/>
                <w:sz w:val="18"/>
              </w:rPr>
              <w:t>1996-2025 rail years</w:t>
            </w:r>
          </w:p>
        </w:tc>
        <w:tc>
          <w:tcPr>
            <w:tcW w:type="dxa" w:w="1701"/>
          </w:tcPr>
          <w:p>
            <w:pPr>
              <w:keepNext/>
              <w:spacing w:after="0" w:line="252" w:lineRule="auto"/>
            </w:pPr>
            <w:r/>
            <w:r>
              <w:rPr>
                <w:rFonts w:ascii="Times New Roman" w:hAnsi="Times New Roman"/>
                <w:b w:val="0"/>
                <w:color w:val="262626"/>
                <w:sz w:val="18"/>
              </w:rPr>
              <w:t>30 annual observations</w:t>
            </w:r>
          </w:p>
        </w:tc>
      </w:tr>
      <w:tr>
        <w:trPr>
          <w:cantSplit/>
        </w:trPr>
        <w:tc>
          <w:tcPr>
            <w:tcW w:type="dxa" w:w="1814"/>
          </w:tcPr>
          <w:p>
            <w:pPr>
              <w:keepNext/>
              <w:spacing w:after="0" w:line="252" w:lineRule="auto"/>
            </w:pPr>
            <w:r/>
            <w:r>
              <w:rPr>
                <w:rFonts w:ascii="Times New Roman" w:hAnsi="Times New Roman"/>
                <w:b w:val="0"/>
                <w:color w:val="262626"/>
                <w:sz w:val="18"/>
              </w:rPr>
              <w:t>ORR Tables 1540-1590</w:t>
            </w:r>
          </w:p>
        </w:tc>
        <w:tc>
          <w:tcPr>
            <w:tcW w:type="dxa" w:w="3969"/>
          </w:tcPr>
          <w:p>
            <w:pPr>
              <w:keepNext/>
              <w:spacing w:after="0" w:line="252" w:lineRule="auto"/>
            </w:pPr>
            <w:r/>
            <w:r>
              <w:rPr>
                <w:rFonts w:ascii="Times New Roman" w:hAnsi="Times New Roman"/>
                <w:b w:val="0"/>
                <w:color w:val="262626"/>
                <w:sz w:val="18"/>
              </w:rPr>
              <w:t>Passenger journeys to, from and within each region (total, within-region and inter-regional journeys)</w:t>
            </w:r>
          </w:p>
        </w:tc>
        <w:tc>
          <w:tcPr>
            <w:tcW w:type="dxa" w:w="1928"/>
          </w:tcPr>
          <w:p>
            <w:pPr>
              <w:keepNext/>
              <w:spacing w:after="0" w:line="252" w:lineRule="auto"/>
            </w:pPr>
            <w:r/>
            <w:r>
              <w:rPr>
                <w:rFonts w:ascii="Times New Roman" w:hAnsi="Times New Roman"/>
                <w:b w:val="0"/>
                <w:color w:val="262626"/>
                <w:sz w:val="18"/>
              </w:rPr>
              <w:t>1996-2025 rail years, 11 regions</w:t>
            </w:r>
          </w:p>
        </w:tc>
        <w:tc>
          <w:tcPr>
            <w:tcW w:type="dxa" w:w="1701"/>
          </w:tcPr>
          <w:p>
            <w:pPr>
              <w:keepNext/>
              <w:spacing w:after="0" w:line="252" w:lineRule="auto"/>
            </w:pPr>
            <w:r/>
            <w:r>
              <w:rPr>
                <w:rFonts w:ascii="Times New Roman" w:hAnsi="Times New Roman"/>
                <w:b w:val="0"/>
                <w:color w:val="262626"/>
                <w:sz w:val="18"/>
              </w:rPr>
              <w:t>330 region-year observations</w:t>
            </w:r>
          </w:p>
        </w:tc>
      </w:tr>
      <w:tr>
        <w:trPr>
          <w:cantSplit/>
        </w:trPr>
        <w:tc>
          <w:tcPr>
            <w:tcW w:type="dxa" w:w="1814"/>
          </w:tcPr>
          <w:p>
            <w:pPr>
              <w:spacing w:after="0" w:line="252" w:lineRule="auto"/>
            </w:pPr>
            <w:r/>
            <w:r>
              <w:rPr>
                <w:rFonts w:ascii="Times New Roman" w:hAnsi="Times New Roman"/>
                <w:b w:val="0"/>
                <w:color w:val="262626"/>
                <w:sz w:val="18"/>
              </w:rPr>
              <w:t>ORR Table 1415a</w:t>
            </w:r>
          </w:p>
        </w:tc>
        <w:tc>
          <w:tcPr>
            <w:tcW w:type="dxa" w:w="3969"/>
          </w:tcPr>
          <w:p>
            <w:pPr>
              <w:spacing w:after="0" w:line="252" w:lineRule="auto"/>
            </w:pPr>
            <w:r/>
            <w:r>
              <w:rPr>
                <w:rFonts w:ascii="Times New Roman" w:hAnsi="Times New Roman"/>
                <w:b w:val="0"/>
                <w:color w:val="262626"/>
                <w:sz w:val="18"/>
              </w:rPr>
              <w:t>Estimated entries and exits by station</w:t>
            </w:r>
          </w:p>
        </w:tc>
        <w:tc>
          <w:tcPr>
            <w:tcW w:type="dxa" w:w="1928"/>
          </w:tcPr>
          <w:p>
            <w:pPr>
              <w:spacing w:after="0" w:line="252" w:lineRule="auto"/>
            </w:pPr>
            <w:r/>
            <w:r>
              <w:rPr>
                <w:rFonts w:ascii="Times New Roman" w:hAnsi="Times New Roman"/>
                <w:b w:val="0"/>
                <w:color w:val="262626"/>
                <w:sz w:val="18"/>
              </w:rPr>
              <w:t>2019 and 2025 rail years</w:t>
            </w:r>
          </w:p>
        </w:tc>
        <w:tc>
          <w:tcPr>
            <w:tcW w:type="dxa" w:w="1701"/>
          </w:tcPr>
          <w:p>
            <w:pPr>
              <w:spacing w:after="0" w:line="252" w:lineRule="auto"/>
            </w:pPr>
            <w:r/>
            <w:r>
              <w:rPr>
                <w:rFonts w:ascii="Times New Roman" w:hAnsi="Times New Roman"/>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all 11 regions now have complete series for all 30 years. The defect and its correction illustrate why automated validation checks are essential for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Times New Roman" w:hAnsi="Times New Roman"/>
          <w:b/>
          <w:i/>
          <w:color w:val="595959"/>
          <w:sz w:val="19"/>
        </w:rPr>
        <w:t xml:space="preserve">Figure 2. </w:t>
      </w:r>
      <w:r>
        <w:rPr>
          <w:rFonts w:ascii="Times New Roman" w:hAnsi="Times New Roman"/>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Times New Roman" w:hAnsi="Times New Roman"/>
          <w:b/>
          <w:i/>
          <w:color w:val="595959"/>
          <w:sz w:val="19"/>
        </w:rPr>
        <w:t xml:space="preserve">Figure 3. </w:t>
      </w:r>
      <w:r>
        <w:rPr>
          <w:rFonts w:ascii="Times New Roman" w:hAnsi="Times New Roman"/>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Times New Roman" w:hAnsi="Times New Roman"/>
          <w:b/>
          <w:i/>
          <w:color w:val="595959"/>
          <w:sz w:val="19"/>
        </w:rPr>
        <w:t xml:space="preserve">Figure 4. </w:t>
      </w:r>
      <w:r>
        <w:rPr>
          <w:rFonts w:ascii="Times New Roman" w:hAnsi="Times New Roman"/>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Times New Roman" w:hAnsi="Times New Roman"/>
          <w:b/>
          <w:i/>
          <w:color w:val="595959"/>
          <w:sz w:val="19"/>
        </w:rPr>
        <w:t xml:space="preserve">Table 2. </w:t>
      </w:r>
      <w:r>
        <w:rPr>
          <w:rFonts w:ascii="Times New Roman" w:hAnsi="Times New Roman"/>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Times New Roman" w:hAnsi="Times New Roman"/>
                <w:b/>
                <w:color w:val="1F3864"/>
                <w:sz w:val="18"/>
              </w:rPr>
              <w:t>Region</w:t>
            </w:r>
          </w:p>
        </w:tc>
        <w:tc>
          <w:tcPr>
            <w:tcW w:type="dxa" w:w="1474"/>
            <w:shd w:val="clear" w:fill="EDF1F8"/>
          </w:tcPr>
          <w:p>
            <w:pPr>
              <w:keepNext/>
              <w:spacing w:after="0" w:line="252" w:lineRule="auto"/>
            </w:pPr>
            <w:r/>
            <w:r>
              <w:rPr>
                <w:rFonts w:ascii="Times New Roman" w:hAnsi="Times New Roman"/>
                <w:b/>
                <w:color w:val="1F3864"/>
                <w:sz w:val="18"/>
              </w:rPr>
              <w:t>Journeys 2025 (m)</w:t>
            </w:r>
          </w:p>
        </w:tc>
        <w:tc>
          <w:tcPr>
            <w:tcW w:type="dxa" w:w="1247"/>
            <w:shd w:val="clear" w:fill="EDF1F8"/>
          </w:tcPr>
          <w:p>
            <w:pPr>
              <w:keepNext/>
              <w:spacing w:after="0" w:line="252" w:lineRule="auto"/>
            </w:pPr>
            <w:r/>
            <w:r>
              <w:rPr>
                <w:rFonts w:ascii="Times New Roman" w:hAnsi="Times New Roman"/>
                <w:b/>
                <w:color w:val="1F3864"/>
                <w:sz w:val="18"/>
              </w:rPr>
              <w:t>Index 2025</w:t>
            </w:r>
          </w:p>
        </w:tc>
        <w:tc>
          <w:tcPr>
            <w:tcW w:type="dxa" w:w="1361"/>
            <w:shd w:val="clear" w:fill="EDF1F8"/>
          </w:tcPr>
          <w:p>
            <w:pPr>
              <w:keepNext/>
              <w:spacing w:after="0" w:line="252" w:lineRule="auto"/>
            </w:pPr>
            <w:r/>
            <w:r>
              <w:rPr>
                <w:rFonts w:ascii="Times New Roman" w:hAnsi="Times New Roman"/>
                <w:b/>
                <w:color w:val="1F3864"/>
                <w:sz w:val="18"/>
              </w:rPr>
              <w:t>Recovery gap</w:t>
            </w:r>
          </w:p>
        </w:tc>
        <w:tc>
          <w:tcPr>
            <w:tcW w:type="dxa" w:w="1814"/>
            <w:shd w:val="clear" w:fill="EDF1F8"/>
          </w:tcPr>
          <w:p>
            <w:pPr>
              <w:keepNext/>
              <w:spacing w:after="0" w:line="252" w:lineRule="auto"/>
            </w:pPr>
            <w:r/>
            <w:r>
              <w:rPr>
                <w:rFonts w:ascii="Times New Roman" w:hAnsi="Times New Roman"/>
                <w:b/>
                <w:color w:val="1F3864"/>
                <w:sz w:val="18"/>
              </w:rPr>
              <w:t>Vs 2010-2019 trend (%)</w:t>
            </w:r>
          </w:p>
        </w:tc>
        <w:tc>
          <w:tcPr>
            <w:tcW w:type="dxa" w:w="1587"/>
            <w:shd w:val="clear" w:fill="EDF1F8"/>
          </w:tcPr>
          <w:p>
            <w:pPr>
              <w:keepNext/>
              <w:spacing w:after="0" w:line="252" w:lineRule="auto"/>
            </w:pPr>
            <w:r/>
            <w:r>
              <w:rPr>
                <w:rFonts w:ascii="Times New Roman" w:hAnsi="Times New Roman"/>
                <w:b/>
                <w:color w:val="1F3864"/>
                <w:sz w:val="18"/>
              </w:rPr>
              <w:t>Cluster</w:t>
            </w:r>
          </w:p>
        </w:tc>
      </w:tr>
      <w:tr>
        <w:trPr>
          <w:cantSplit/>
        </w:trPr>
        <w:tc>
          <w:tcPr>
            <w:tcW w:type="dxa" w:w="2381"/>
          </w:tcPr>
          <w:p>
            <w:pPr>
              <w:keepNext/>
              <w:spacing w:after="0" w:line="252" w:lineRule="auto"/>
            </w:pPr>
            <w:r/>
            <w:r>
              <w:rPr>
                <w:rFonts w:ascii="Times New Roman" w:hAnsi="Times New Roman"/>
                <w:b w:val="0"/>
                <w:color w:val="262626"/>
                <w:sz w:val="18"/>
              </w:rPr>
              <w:t>North East</w:t>
            </w:r>
          </w:p>
        </w:tc>
        <w:tc>
          <w:tcPr>
            <w:tcW w:type="dxa" w:w="1474"/>
          </w:tcPr>
          <w:p>
            <w:pPr>
              <w:keepNext/>
              <w:spacing w:after="0" w:line="252" w:lineRule="auto"/>
            </w:pPr>
            <w:r/>
            <w:r>
              <w:rPr>
                <w:rFonts w:ascii="Times New Roman" w:hAnsi="Times New Roman"/>
                <w:b w:val="0"/>
                <w:color w:val="262626"/>
                <w:sz w:val="18"/>
              </w:rPr>
              <w:t>19.1</w:t>
            </w:r>
          </w:p>
        </w:tc>
        <w:tc>
          <w:tcPr>
            <w:tcW w:type="dxa" w:w="1247"/>
          </w:tcPr>
          <w:p>
            <w:pPr>
              <w:keepNext/>
              <w:spacing w:after="0" w:line="252" w:lineRule="auto"/>
            </w:pPr>
            <w:r/>
            <w:r>
              <w:rPr>
                <w:rFonts w:ascii="Times New Roman" w:hAnsi="Times New Roman"/>
                <w:b w:val="0"/>
                <w:color w:val="262626"/>
                <w:sz w:val="18"/>
              </w:rPr>
              <w:t>117.4</w:t>
            </w:r>
          </w:p>
        </w:tc>
        <w:tc>
          <w:tcPr>
            <w:tcW w:type="dxa" w:w="1361"/>
          </w:tcPr>
          <w:p>
            <w:pPr>
              <w:keepNext/>
              <w:spacing w:after="0" w:line="252" w:lineRule="auto"/>
            </w:pPr>
            <w:r/>
            <w:r>
              <w:rPr>
                <w:rFonts w:ascii="Times New Roman" w:hAnsi="Times New Roman"/>
                <w:b w:val="0"/>
                <w:color w:val="262626"/>
                <w:sz w:val="18"/>
              </w:rPr>
              <w:t>+17.4</w:t>
            </w:r>
          </w:p>
        </w:tc>
        <w:tc>
          <w:tcPr>
            <w:tcW w:type="dxa" w:w="1814"/>
          </w:tcPr>
          <w:p>
            <w:pPr>
              <w:keepNext/>
              <w:spacing w:after="0" w:line="252" w:lineRule="auto"/>
            </w:pPr>
            <w:r/>
            <w:r>
              <w:rPr>
                <w:rFonts w:ascii="Times New Roman" w:hAnsi="Times New Roman"/>
                <w:b w:val="0"/>
                <w:color w:val="262626"/>
                <w:sz w:val="18"/>
              </w:rPr>
              <w:t>+4.8</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South West</w:t>
            </w:r>
          </w:p>
        </w:tc>
        <w:tc>
          <w:tcPr>
            <w:tcW w:type="dxa" w:w="1474"/>
          </w:tcPr>
          <w:p>
            <w:pPr>
              <w:keepNext/>
              <w:spacing w:after="0" w:line="252" w:lineRule="auto"/>
            </w:pPr>
            <w:r/>
            <w:r>
              <w:rPr>
                <w:rFonts w:ascii="Times New Roman" w:hAnsi="Times New Roman"/>
                <w:b w:val="0"/>
                <w:color w:val="262626"/>
                <w:sz w:val="18"/>
              </w:rPr>
              <w:t>55.7</w:t>
            </w:r>
          </w:p>
        </w:tc>
        <w:tc>
          <w:tcPr>
            <w:tcW w:type="dxa" w:w="1247"/>
          </w:tcPr>
          <w:p>
            <w:pPr>
              <w:keepNext/>
              <w:spacing w:after="0" w:line="252" w:lineRule="auto"/>
            </w:pPr>
            <w:r/>
            <w:r>
              <w:rPr>
                <w:rFonts w:ascii="Times New Roman" w:hAnsi="Times New Roman"/>
                <w:b w:val="0"/>
                <w:color w:val="262626"/>
                <w:sz w:val="18"/>
              </w:rPr>
              <w:t>106.7</w:t>
            </w:r>
          </w:p>
        </w:tc>
        <w:tc>
          <w:tcPr>
            <w:tcW w:type="dxa" w:w="1361"/>
          </w:tcPr>
          <w:p>
            <w:pPr>
              <w:keepNext/>
              <w:spacing w:after="0" w:line="252" w:lineRule="auto"/>
            </w:pPr>
            <w:r/>
            <w:r>
              <w:rPr>
                <w:rFonts w:ascii="Times New Roman" w:hAnsi="Times New Roman"/>
                <w:b w:val="0"/>
                <w:color w:val="262626"/>
                <w:sz w:val="18"/>
              </w:rPr>
              <w:t>+6.7</w:t>
            </w:r>
          </w:p>
        </w:tc>
        <w:tc>
          <w:tcPr>
            <w:tcW w:type="dxa" w:w="1814"/>
          </w:tcPr>
          <w:p>
            <w:pPr>
              <w:keepNext/>
              <w:spacing w:after="0" w:line="252" w:lineRule="auto"/>
            </w:pPr>
            <w:r/>
            <w:r>
              <w:rPr>
                <w:rFonts w:ascii="Times New Roman" w:hAnsi="Times New Roman"/>
                <w:b w:val="0"/>
                <w:color w:val="262626"/>
                <w:sz w:val="18"/>
              </w:rPr>
              <w:t>-10.0</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London</w:t>
            </w:r>
          </w:p>
        </w:tc>
        <w:tc>
          <w:tcPr>
            <w:tcW w:type="dxa" w:w="1474"/>
          </w:tcPr>
          <w:p>
            <w:pPr>
              <w:keepNext/>
              <w:spacing w:after="0" w:line="252" w:lineRule="auto"/>
            </w:pPr>
            <w:r/>
            <w:r>
              <w:rPr>
                <w:rFonts w:ascii="Times New Roman" w:hAnsi="Times New Roman"/>
                <w:b w:val="0"/>
                <w:color w:val="262626"/>
                <w:sz w:val="18"/>
              </w:rPr>
              <w:t>1008.7</w:t>
            </w:r>
          </w:p>
        </w:tc>
        <w:tc>
          <w:tcPr>
            <w:tcW w:type="dxa" w:w="1247"/>
          </w:tcPr>
          <w:p>
            <w:pPr>
              <w:keepNext/>
              <w:spacing w:after="0" w:line="252" w:lineRule="auto"/>
            </w:pPr>
            <w:r/>
            <w:r>
              <w:rPr>
                <w:rFonts w:ascii="Times New Roman" w:hAnsi="Times New Roman"/>
                <w:b w:val="0"/>
                <w:color w:val="262626"/>
                <w:sz w:val="18"/>
              </w:rPr>
              <w:t>105.1</w:t>
            </w:r>
          </w:p>
        </w:tc>
        <w:tc>
          <w:tcPr>
            <w:tcW w:type="dxa" w:w="1361"/>
          </w:tcPr>
          <w:p>
            <w:pPr>
              <w:keepNext/>
              <w:spacing w:after="0" w:line="252" w:lineRule="auto"/>
            </w:pPr>
            <w:r/>
            <w:r>
              <w:rPr>
                <w:rFonts w:ascii="Times New Roman" w:hAnsi="Times New Roman"/>
                <w:b w:val="0"/>
                <w:color w:val="262626"/>
                <w:sz w:val="18"/>
              </w:rPr>
              <w:t>+5.1</w:t>
            </w:r>
          </w:p>
        </w:tc>
        <w:tc>
          <w:tcPr>
            <w:tcW w:type="dxa" w:w="1814"/>
          </w:tcPr>
          <w:p>
            <w:pPr>
              <w:keepNext/>
              <w:spacing w:after="0" w:line="252" w:lineRule="auto"/>
            </w:pPr>
            <w:r/>
            <w:r>
              <w:rPr>
                <w:rFonts w:ascii="Times New Roman" w:hAnsi="Times New Roman"/>
                <w:b w:val="0"/>
                <w:color w:val="262626"/>
                <w:sz w:val="18"/>
              </w:rPr>
              <w:t>-16.5</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East Midlands</w:t>
            </w:r>
          </w:p>
        </w:tc>
        <w:tc>
          <w:tcPr>
            <w:tcW w:type="dxa" w:w="1474"/>
          </w:tcPr>
          <w:p>
            <w:pPr>
              <w:keepNext/>
              <w:spacing w:after="0" w:line="252" w:lineRule="auto"/>
            </w:pPr>
            <w:r/>
            <w:r>
              <w:rPr>
                <w:rFonts w:ascii="Times New Roman" w:hAnsi="Times New Roman"/>
                <w:b w:val="0"/>
                <w:color w:val="262626"/>
                <w:sz w:val="18"/>
              </w:rPr>
              <w:t>36.4</w:t>
            </w:r>
          </w:p>
        </w:tc>
        <w:tc>
          <w:tcPr>
            <w:tcW w:type="dxa" w:w="1247"/>
          </w:tcPr>
          <w:p>
            <w:pPr>
              <w:keepNext/>
              <w:spacing w:after="0" w:line="252" w:lineRule="auto"/>
            </w:pPr>
            <w:r/>
            <w:r>
              <w:rPr>
                <w:rFonts w:ascii="Times New Roman" w:hAnsi="Times New Roman"/>
                <w:b w:val="0"/>
                <w:color w:val="262626"/>
                <w:sz w:val="18"/>
              </w:rPr>
              <w:t>99.9</w:t>
            </w:r>
          </w:p>
        </w:tc>
        <w:tc>
          <w:tcPr>
            <w:tcW w:type="dxa" w:w="1361"/>
          </w:tcPr>
          <w:p>
            <w:pPr>
              <w:keepNext/>
              <w:spacing w:after="0" w:line="252" w:lineRule="auto"/>
            </w:pPr>
            <w:r/>
            <w:r>
              <w:rPr>
                <w:rFonts w:ascii="Times New Roman" w:hAnsi="Times New Roman"/>
                <w:b w:val="0"/>
                <w:color w:val="262626"/>
                <w:sz w:val="18"/>
              </w:rPr>
              <w:t>-0.1</w:t>
            </w:r>
          </w:p>
        </w:tc>
        <w:tc>
          <w:tcPr>
            <w:tcW w:type="dxa" w:w="1814"/>
          </w:tcPr>
          <w:p>
            <w:pPr>
              <w:keepNext/>
              <w:spacing w:after="0" w:line="252" w:lineRule="auto"/>
            </w:pPr>
            <w:r/>
            <w:r>
              <w:rPr>
                <w:rFonts w:ascii="Times New Roman" w:hAnsi="Times New Roman"/>
                <w:b w:val="0"/>
                <w:color w:val="262626"/>
                <w:sz w:val="18"/>
              </w:rPr>
              <w:t>-13.5</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Yorkshire and the Humber</w:t>
            </w:r>
          </w:p>
        </w:tc>
        <w:tc>
          <w:tcPr>
            <w:tcW w:type="dxa" w:w="1474"/>
          </w:tcPr>
          <w:p>
            <w:pPr>
              <w:keepNext/>
              <w:spacing w:after="0" w:line="252" w:lineRule="auto"/>
            </w:pPr>
            <w:r/>
            <w:r>
              <w:rPr>
                <w:rFonts w:ascii="Times New Roman" w:hAnsi="Times New Roman"/>
                <w:b w:val="0"/>
                <w:color w:val="262626"/>
                <w:sz w:val="18"/>
              </w:rPr>
              <w:t>72.0</w:t>
            </w:r>
          </w:p>
        </w:tc>
        <w:tc>
          <w:tcPr>
            <w:tcW w:type="dxa" w:w="1247"/>
          </w:tcPr>
          <w:p>
            <w:pPr>
              <w:keepNext/>
              <w:spacing w:after="0" w:line="252" w:lineRule="auto"/>
            </w:pPr>
            <w:r/>
            <w:r>
              <w:rPr>
                <w:rFonts w:ascii="Times New Roman" w:hAnsi="Times New Roman"/>
                <w:b w:val="0"/>
                <w:color w:val="262626"/>
                <w:sz w:val="18"/>
              </w:rPr>
              <w:t>98.1</w:t>
            </w:r>
          </w:p>
        </w:tc>
        <w:tc>
          <w:tcPr>
            <w:tcW w:type="dxa" w:w="1361"/>
          </w:tcPr>
          <w:p>
            <w:pPr>
              <w:keepNext/>
              <w:spacing w:after="0" w:line="252" w:lineRule="auto"/>
            </w:pPr>
            <w:r/>
            <w:r>
              <w:rPr>
                <w:rFonts w:ascii="Times New Roman" w:hAnsi="Times New Roman"/>
                <w:b w:val="0"/>
                <w:color w:val="262626"/>
                <w:sz w:val="18"/>
              </w:rPr>
              <w:t>-1.9</w:t>
            </w:r>
          </w:p>
        </w:tc>
        <w:tc>
          <w:tcPr>
            <w:tcW w:type="dxa" w:w="1814"/>
          </w:tcPr>
          <w:p>
            <w:pPr>
              <w:keepNext/>
              <w:spacing w:after="0" w:line="252" w:lineRule="auto"/>
            </w:pPr>
            <w:r/>
            <w:r>
              <w:rPr>
                <w:rFonts w:ascii="Times New Roman" w:hAnsi="Times New Roman"/>
                <w:b w:val="0"/>
                <w:color w:val="262626"/>
                <w:sz w:val="18"/>
              </w:rPr>
              <w:t>-17.8</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Wales</w:t>
            </w:r>
          </w:p>
        </w:tc>
        <w:tc>
          <w:tcPr>
            <w:tcW w:type="dxa" w:w="1474"/>
          </w:tcPr>
          <w:p>
            <w:pPr>
              <w:keepNext/>
              <w:spacing w:after="0" w:line="252" w:lineRule="auto"/>
            </w:pPr>
            <w:r/>
            <w:r>
              <w:rPr>
                <w:rFonts w:ascii="Times New Roman" w:hAnsi="Times New Roman"/>
                <w:b w:val="0"/>
                <w:color w:val="262626"/>
                <w:sz w:val="18"/>
              </w:rPr>
              <w:t>30.0</w:t>
            </w:r>
          </w:p>
        </w:tc>
        <w:tc>
          <w:tcPr>
            <w:tcW w:type="dxa" w:w="1247"/>
          </w:tcPr>
          <w:p>
            <w:pPr>
              <w:keepNext/>
              <w:spacing w:after="0" w:line="252" w:lineRule="auto"/>
            </w:pPr>
            <w:r/>
            <w:r>
              <w:rPr>
                <w:rFonts w:ascii="Times New Roman" w:hAnsi="Times New Roman"/>
                <w:b w:val="0"/>
                <w:color w:val="262626"/>
                <w:sz w:val="18"/>
              </w:rPr>
              <w:t>96.6</w:t>
            </w:r>
          </w:p>
        </w:tc>
        <w:tc>
          <w:tcPr>
            <w:tcW w:type="dxa" w:w="1361"/>
          </w:tcPr>
          <w:p>
            <w:pPr>
              <w:keepNext/>
              <w:spacing w:after="0" w:line="252" w:lineRule="auto"/>
            </w:pPr>
            <w:r/>
            <w:r>
              <w:rPr>
                <w:rFonts w:ascii="Times New Roman" w:hAnsi="Times New Roman"/>
                <w:b w:val="0"/>
                <w:color w:val="262626"/>
                <w:sz w:val="18"/>
              </w:rPr>
              <w:t>-3.4</w:t>
            </w:r>
          </w:p>
        </w:tc>
        <w:tc>
          <w:tcPr>
            <w:tcW w:type="dxa" w:w="1814"/>
          </w:tcPr>
          <w:p>
            <w:pPr>
              <w:keepNext/>
              <w:spacing w:after="0" w:line="252" w:lineRule="auto"/>
            </w:pPr>
            <w:r/>
            <w:r>
              <w:rPr>
                <w:rFonts w:ascii="Times New Roman" w:hAnsi="Times New Roman"/>
                <w:b w:val="0"/>
                <w:color w:val="262626"/>
                <w:sz w:val="18"/>
              </w:rPr>
              <w:t>-13.7</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keepNext/>
              <w:spacing w:after="0" w:line="252" w:lineRule="auto"/>
            </w:pPr>
            <w:r/>
            <w:r>
              <w:rPr>
                <w:rFonts w:ascii="Times New Roman" w:hAnsi="Times New Roman"/>
                <w:b w:val="0"/>
                <w:color w:val="262626"/>
                <w:sz w:val="18"/>
              </w:rPr>
              <w:t>North West</w:t>
            </w:r>
          </w:p>
        </w:tc>
        <w:tc>
          <w:tcPr>
            <w:tcW w:type="dxa" w:w="1474"/>
          </w:tcPr>
          <w:p>
            <w:pPr>
              <w:keepNext/>
              <w:spacing w:after="0" w:line="252" w:lineRule="auto"/>
            </w:pPr>
            <w:r/>
            <w:r>
              <w:rPr>
                <w:rFonts w:ascii="Times New Roman" w:hAnsi="Times New Roman"/>
                <w:b w:val="0"/>
                <w:color w:val="262626"/>
                <w:sz w:val="18"/>
              </w:rPr>
              <w:t>131.4</w:t>
            </w:r>
          </w:p>
        </w:tc>
        <w:tc>
          <w:tcPr>
            <w:tcW w:type="dxa" w:w="1247"/>
          </w:tcPr>
          <w:p>
            <w:pPr>
              <w:keepNext/>
              <w:spacing w:after="0" w:line="252" w:lineRule="auto"/>
            </w:pPr>
            <w:r/>
            <w:r>
              <w:rPr>
                <w:rFonts w:ascii="Times New Roman" w:hAnsi="Times New Roman"/>
                <w:b w:val="0"/>
                <w:color w:val="262626"/>
                <w:sz w:val="18"/>
              </w:rPr>
              <w:t>96.0</w:t>
            </w:r>
          </w:p>
        </w:tc>
        <w:tc>
          <w:tcPr>
            <w:tcW w:type="dxa" w:w="1361"/>
          </w:tcPr>
          <w:p>
            <w:pPr>
              <w:keepNext/>
              <w:spacing w:after="0" w:line="252" w:lineRule="auto"/>
            </w:pPr>
            <w:r/>
            <w:r>
              <w:rPr>
                <w:rFonts w:ascii="Times New Roman" w:hAnsi="Times New Roman"/>
                <w:b w:val="0"/>
                <w:color w:val="262626"/>
                <w:sz w:val="18"/>
              </w:rPr>
              <w:t>-4.0</w:t>
            </w:r>
          </w:p>
        </w:tc>
        <w:tc>
          <w:tcPr>
            <w:tcW w:type="dxa" w:w="1814"/>
          </w:tcPr>
          <w:p>
            <w:pPr>
              <w:keepNext/>
              <w:spacing w:after="0" w:line="252" w:lineRule="auto"/>
            </w:pPr>
            <w:r/>
            <w:r>
              <w:rPr>
                <w:rFonts w:ascii="Times New Roman" w:hAnsi="Times New Roman"/>
                <w:b w:val="0"/>
                <w:color w:val="262626"/>
                <w:sz w:val="18"/>
              </w:rPr>
              <w:t>-17.5</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East of England</w:t>
            </w:r>
          </w:p>
        </w:tc>
        <w:tc>
          <w:tcPr>
            <w:tcW w:type="dxa" w:w="1474"/>
          </w:tcPr>
          <w:p>
            <w:pPr>
              <w:keepNext/>
              <w:spacing w:after="0" w:line="252" w:lineRule="auto"/>
            </w:pPr>
            <w:r/>
            <w:r>
              <w:rPr>
                <w:rFonts w:ascii="Times New Roman" w:hAnsi="Times New Roman"/>
                <w:b w:val="0"/>
                <w:color w:val="262626"/>
                <w:sz w:val="18"/>
              </w:rPr>
              <w:t>173.4</w:t>
            </w:r>
          </w:p>
        </w:tc>
        <w:tc>
          <w:tcPr>
            <w:tcW w:type="dxa" w:w="1247"/>
          </w:tcPr>
          <w:p>
            <w:pPr>
              <w:keepNext/>
              <w:spacing w:after="0" w:line="252" w:lineRule="auto"/>
            </w:pPr>
            <w:r/>
            <w:r>
              <w:rPr>
                <w:rFonts w:ascii="Times New Roman" w:hAnsi="Times New Roman"/>
                <w:b w:val="0"/>
                <w:color w:val="262626"/>
                <w:sz w:val="18"/>
              </w:rPr>
              <w:t>89.5</w:t>
            </w:r>
          </w:p>
        </w:tc>
        <w:tc>
          <w:tcPr>
            <w:tcW w:type="dxa" w:w="1361"/>
          </w:tcPr>
          <w:p>
            <w:pPr>
              <w:keepNext/>
              <w:spacing w:after="0" w:line="252" w:lineRule="auto"/>
            </w:pPr>
            <w:r/>
            <w:r>
              <w:rPr>
                <w:rFonts w:ascii="Times New Roman" w:hAnsi="Times New Roman"/>
                <w:b w:val="0"/>
                <w:color w:val="262626"/>
                <w:sz w:val="18"/>
              </w:rPr>
              <w:t>-10.5</w:t>
            </w:r>
          </w:p>
        </w:tc>
        <w:tc>
          <w:tcPr>
            <w:tcW w:type="dxa" w:w="1814"/>
          </w:tcPr>
          <w:p>
            <w:pPr>
              <w:keepNext/>
              <w:spacing w:after="0" w:line="252" w:lineRule="auto"/>
            </w:pPr>
            <w:r/>
            <w:r>
              <w:rPr>
                <w:rFonts w:ascii="Times New Roman" w:hAnsi="Times New Roman"/>
                <w:b w:val="0"/>
                <w:color w:val="262626"/>
                <w:sz w:val="18"/>
              </w:rPr>
              <w:t>-25.4</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keepNext/>
              <w:spacing w:after="0" w:line="252" w:lineRule="auto"/>
            </w:pPr>
            <w:r/>
            <w:r>
              <w:rPr>
                <w:rFonts w:ascii="Times New Roman" w:hAnsi="Times New Roman"/>
                <w:b w:val="0"/>
                <w:color w:val="262626"/>
                <w:sz w:val="18"/>
              </w:rPr>
              <w:t>South East</w:t>
            </w:r>
          </w:p>
        </w:tc>
        <w:tc>
          <w:tcPr>
            <w:tcW w:type="dxa" w:w="1474"/>
          </w:tcPr>
          <w:p>
            <w:pPr>
              <w:keepNext/>
              <w:spacing w:after="0" w:line="252" w:lineRule="auto"/>
            </w:pPr>
            <w:r/>
            <w:r>
              <w:rPr>
                <w:rFonts w:ascii="Times New Roman" w:hAnsi="Times New Roman"/>
                <w:b w:val="0"/>
                <w:color w:val="262626"/>
                <w:sz w:val="18"/>
              </w:rPr>
              <w:t>279.3</w:t>
            </w:r>
          </w:p>
        </w:tc>
        <w:tc>
          <w:tcPr>
            <w:tcW w:type="dxa" w:w="1247"/>
          </w:tcPr>
          <w:p>
            <w:pPr>
              <w:keepNext/>
              <w:spacing w:after="0" w:line="252" w:lineRule="auto"/>
            </w:pPr>
            <w:r/>
            <w:r>
              <w:rPr>
                <w:rFonts w:ascii="Times New Roman" w:hAnsi="Times New Roman"/>
                <w:b w:val="0"/>
                <w:color w:val="262626"/>
                <w:sz w:val="18"/>
              </w:rPr>
              <w:t>88.9</w:t>
            </w:r>
          </w:p>
        </w:tc>
        <w:tc>
          <w:tcPr>
            <w:tcW w:type="dxa" w:w="1361"/>
          </w:tcPr>
          <w:p>
            <w:pPr>
              <w:keepNext/>
              <w:spacing w:after="0" w:line="252" w:lineRule="auto"/>
            </w:pPr>
            <w:r/>
            <w:r>
              <w:rPr>
                <w:rFonts w:ascii="Times New Roman" w:hAnsi="Times New Roman"/>
                <w:b w:val="0"/>
                <w:color w:val="262626"/>
                <w:sz w:val="18"/>
              </w:rPr>
              <w:t>-11.1</w:t>
            </w:r>
          </w:p>
        </w:tc>
        <w:tc>
          <w:tcPr>
            <w:tcW w:type="dxa" w:w="1814"/>
          </w:tcPr>
          <w:p>
            <w:pPr>
              <w:keepNext/>
              <w:spacing w:after="0" w:line="252" w:lineRule="auto"/>
            </w:pPr>
            <w:r/>
            <w:r>
              <w:rPr>
                <w:rFonts w:ascii="Times New Roman" w:hAnsi="Times New Roman"/>
                <w:b w:val="0"/>
                <w:color w:val="262626"/>
                <w:sz w:val="18"/>
              </w:rPr>
              <w:t>-20.8</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keepNext/>
              <w:spacing w:after="0" w:line="252" w:lineRule="auto"/>
            </w:pPr>
            <w:r/>
            <w:r>
              <w:rPr>
                <w:rFonts w:ascii="Times New Roman" w:hAnsi="Times New Roman"/>
                <w:b w:val="0"/>
                <w:color w:val="262626"/>
                <w:sz w:val="18"/>
              </w:rPr>
              <w:t>Scotland</w:t>
            </w:r>
          </w:p>
        </w:tc>
        <w:tc>
          <w:tcPr>
            <w:tcW w:type="dxa" w:w="1474"/>
          </w:tcPr>
          <w:p>
            <w:pPr>
              <w:keepNext/>
              <w:spacing w:after="0" w:line="252" w:lineRule="auto"/>
            </w:pPr>
            <w:r/>
            <w:r>
              <w:rPr>
                <w:rFonts w:ascii="Times New Roman" w:hAnsi="Times New Roman"/>
                <w:b w:val="0"/>
                <w:color w:val="262626"/>
                <w:sz w:val="18"/>
              </w:rPr>
              <w:t>89.4</w:t>
            </w:r>
          </w:p>
        </w:tc>
        <w:tc>
          <w:tcPr>
            <w:tcW w:type="dxa" w:w="1247"/>
          </w:tcPr>
          <w:p>
            <w:pPr>
              <w:keepNext/>
              <w:spacing w:after="0" w:line="252" w:lineRule="auto"/>
            </w:pPr>
            <w:r/>
            <w:r>
              <w:rPr>
                <w:rFonts w:ascii="Times New Roman" w:hAnsi="Times New Roman"/>
                <w:b w:val="0"/>
                <w:color w:val="262626"/>
                <w:sz w:val="18"/>
              </w:rPr>
              <w:t>87.7</w:t>
            </w:r>
          </w:p>
        </w:tc>
        <w:tc>
          <w:tcPr>
            <w:tcW w:type="dxa" w:w="1361"/>
          </w:tcPr>
          <w:p>
            <w:pPr>
              <w:keepNext/>
              <w:spacing w:after="0" w:line="252" w:lineRule="auto"/>
            </w:pPr>
            <w:r/>
            <w:r>
              <w:rPr>
                <w:rFonts w:ascii="Times New Roman" w:hAnsi="Times New Roman"/>
                <w:b w:val="0"/>
                <w:color w:val="262626"/>
                <w:sz w:val="18"/>
              </w:rPr>
              <w:t>-12.3</w:t>
            </w:r>
          </w:p>
        </w:tc>
        <w:tc>
          <w:tcPr>
            <w:tcW w:type="dxa" w:w="1814"/>
          </w:tcPr>
          <w:p>
            <w:pPr>
              <w:keepNext/>
              <w:spacing w:after="0" w:line="252" w:lineRule="auto"/>
            </w:pPr>
            <w:r/>
            <w:r>
              <w:rPr>
                <w:rFonts w:ascii="Times New Roman" w:hAnsi="Times New Roman"/>
                <w:b w:val="0"/>
                <w:color w:val="262626"/>
                <w:sz w:val="18"/>
              </w:rPr>
              <w:t>-25.0</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spacing w:after="0" w:line="252" w:lineRule="auto"/>
            </w:pPr>
            <w:r/>
            <w:r>
              <w:rPr>
                <w:rFonts w:ascii="Times New Roman" w:hAnsi="Times New Roman"/>
                <w:b w:val="0"/>
                <w:color w:val="262626"/>
                <w:sz w:val="18"/>
              </w:rPr>
              <w:t>West Midlands</w:t>
            </w:r>
          </w:p>
        </w:tc>
        <w:tc>
          <w:tcPr>
            <w:tcW w:type="dxa" w:w="1474"/>
          </w:tcPr>
          <w:p>
            <w:pPr>
              <w:spacing w:after="0" w:line="252" w:lineRule="auto"/>
            </w:pPr>
            <w:r/>
            <w:r>
              <w:rPr>
                <w:rFonts w:ascii="Times New Roman" w:hAnsi="Times New Roman"/>
                <w:b w:val="0"/>
                <w:color w:val="262626"/>
                <w:sz w:val="18"/>
              </w:rPr>
              <w:t>85.1</w:t>
            </w:r>
          </w:p>
        </w:tc>
        <w:tc>
          <w:tcPr>
            <w:tcW w:type="dxa" w:w="1247"/>
          </w:tcPr>
          <w:p>
            <w:pPr>
              <w:spacing w:after="0" w:line="252" w:lineRule="auto"/>
            </w:pPr>
            <w:r/>
            <w:r>
              <w:rPr>
                <w:rFonts w:ascii="Times New Roman" w:hAnsi="Times New Roman"/>
                <w:b w:val="0"/>
                <w:color w:val="262626"/>
                <w:sz w:val="18"/>
              </w:rPr>
              <w:t>84.3</w:t>
            </w:r>
          </w:p>
        </w:tc>
        <w:tc>
          <w:tcPr>
            <w:tcW w:type="dxa" w:w="1361"/>
          </w:tcPr>
          <w:p>
            <w:pPr>
              <w:spacing w:after="0" w:line="252" w:lineRule="auto"/>
            </w:pPr>
            <w:r/>
            <w:r>
              <w:rPr>
                <w:rFonts w:ascii="Times New Roman" w:hAnsi="Times New Roman"/>
                <w:b w:val="0"/>
                <w:color w:val="262626"/>
                <w:sz w:val="18"/>
              </w:rPr>
              <w:t>-15.7</w:t>
            </w:r>
          </w:p>
        </w:tc>
        <w:tc>
          <w:tcPr>
            <w:tcW w:type="dxa" w:w="1814"/>
          </w:tcPr>
          <w:p>
            <w:pPr>
              <w:spacing w:after="0" w:line="252" w:lineRule="auto"/>
            </w:pPr>
            <w:r/>
            <w:r>
              <w:rPr>
                <w:rFonts w:ascii="Times New Roman" w:hAnsi="Times New Roman"/>
                <w:b w:val="0"/>
                <w:color w:val="262626"/>
                <w:sz w:val="18"/>
              </w:rPr>
              <w:t>-32.3</w:t>
            </w:r>
          </w:p>
        </w:tc>
        <w:tc>
          <w:tcPr>
            <w:tcW w:type="dxa" w:w="1587"/>
          </w:tcPr>
          <w:p>
            <w:pPr>
              <w:spacing w:after="0" w:line="252" w:lineRule="auto"/>
            </w:pPr>
            <w:r/>
            <w:r>
              <w:rPr>
                <w:rFonts w:ascii="Times New Roman" w:hAnsi="Times New Roman"/>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Times New Roman" w:hAnsi="Times New Roman"/>
          <w:b/>
          <w:i/>
          <w:color w:val="595959"/>
          <w:sz w:val="19"/>
        </w:rPr>
        <w:t xml:space="preserve">Figure 5. </w:t>
      </w:r>
      <w:r>
        <w:rPr>
          <w:rFonts w:ascii="Times New Roman" w:hAnsi="Times New Roman"/>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extra journeys,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Times New Roman" w:hAnsi="Times New Roman"/>
          <w:b/>
          <w:i/>
          <w:color w:val="595959"/>
          <w:sz w:val="19"/>
        </w:rPr>
        <w:t xml:space="preserve">Figure 6. </w:t>
      </w:r>
      <w:r>
        <w:rPr>
          <w:rFonts w:ascii="Times New Roman" w:hAnsi="Times New Roman"/>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Times New Roman" w:hAnsi="Times New Roman"/>
          <w:b/>
          <w:i/>
          <w:color w:val="595959"/>
          <w:sz w:val="19"/>
        </w:rPr>
        <w:t xml:space="preserve">Figure 7. </w:t>
      </w:r>
      <w:r>
        <w:rPr>
          <w:rFonts w:ascii="Times New Roman" w:hAnsi="Times New Roman"/>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(Magriço et al., 2023), season tickets fell from 34% to 13% of journeys (ORR, 2025a), and homeworking rates are highest in London, the South East and the East of England (ONS, 2022).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w:t>
      </w:r>
    </w:p>
    <w:p>
      <w:pPr>
        <w:keepNext/>
        <w:spacing w:before="120" w:after="80"/>
        <w:jc w:val="left"/>
      </w:pPr>
      <w:r>
        <w:rPr>
          <w:rFonts w:ascii="Times New Roman" w:hAnsi="Times New Roman"/>
          <w:b/>
          <w:i/>
          <w:color w:val="595959"/>
          <w:sz w:val="19"/>
        </w:rPr>
        <w:t xml:space="preserve">Table 3. </w:t>
      </w:r>
      <w:r>
        <w:rPr>
          <w:rFonts w:ascii="Times New Roman" w:hAnsi="Times New Roman"/>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Times New Roman" w:hAnsi="Times New Roman"/>
                <w:b/>
                <w:color w:val="1F3864"/>
                <w:sz w:val="18"/>
              </w:rPr>
              <w:t>Characteristic</w:t>
            </w:r>
          </w:p>
        </w:tc>
        <w:tc>
          <w:tcPr>
            <w:tcW w:type="dxa" w:w="1247"/>
            <w:shd w:val="clear" w:fill="EDF1F8"/>
          </w:tcPr>
          <w:p>
            <w:pPr>
              <w:keepNext/>
              <w:spacing w:after="0" w:line="252" w:lineRule="auto"/>
            </w:pPr>
            <w:r/>
            <w:r>
              <w:rPr>
                <w:rFonts w:ascii="Times New Roman" w:hAnsi="Times New Roman"/>
                <w:b/>
                <w:color w:val="1F3864"/>
                <w:sz w:val="18"/>
              </w:rPr>
              <w:t>Pearson r</w:t>
            </w:r>
          </w:p>
        </w:tc>
        <w:tc>
          <w:tcPr>
            <w:tcW w:type="dxa" w:w="1020"/>
            <w:shd w:val="clear" w:fill="EDF1F8"/>
          </w:tcPr>
          <w:p>
            <w:pPr>
              <w:keepNext/>
              <w:spacing w:after="0" w:line="252" w:lineRule="auto"/>
            </w:pPr>
            <w:r/>
            <w:r>
              <w:rPr>
                <w:rFonts w:ascii="Times New Roman" w:hAnsi="Times New Roman"/>
                <w:b/>
                <w:color w:val="1F3864"/>
                <w:sz w:val="18"/>
              </w:rPr>
              <w:t>p</w:t>
            </w:r>
          </w:p>
        </w:tc>
        <w:tc>
          <w:tcPr>
            <w:tcW w:type="dxa" w:w="1474"/>
            <w:shd w:val="clear" w:fill="EDF1F8"/>
          </w:tcPr>
          <w:p>
            <w:pPr>
              <w:keepNext/>
              <w:spacing w:after="0" w:line="252" w:lineRule="auto"/>
            </w:pPr>
            <w:r/>
            <w:r>
              <w:rPr>
                <w:rFonts w:ascii="Times New Roman" w:hAnsi="Times New Roman"/>
                <w:b/>
                <w:color w:val="1F3864"/>
                <w:sz w:val="18"/>
              </w:rPr>
              <w:t>Spearman rho</w:t>
            </w:r>
          </w:p>
        </w:tc>
        <w:tc>
          <w:tcPr>
            <w:tcW w:type="dxa" w:w="1020"/>
            <w:shd w:val="clear" w:fill="EDF1F8"/>
          </w:tcPr>
          <w:p>
            <w:pPr>
              <w:keepNext/>
              <w:spacing w:after="0" w:line="252" w:lineRule="auto"/>
            </w:pPr>
            <w:r/>
            <w:r>
              <w:rPr>
                <w:rFonts w:ascii="Times New Roman" w:hAnsi="Times New Roman"/>
                <w:b/>
                <w:color w:val="1F3864"/>
                <w:sz w:val="18"/>
              </w:rPr>
              <w:t>p</w:t>
            </w:r>
          </w:p>
        </w:tc>
      </w:tr>
      <w:tr>
        <w:trPr>
          <w:cantSplit/>
        </w:trPr>
        <w:tc>
          <w:tcPr>
            <w:tcW w:type="dxa" w:w="4082"/>
          </w:tcPr>
          <w:p>
            <w:pPr>
              <w:keepNext/>
              <w:spacing w:after="0" w:line="252" w:lineRule="auto"/>
            </w:pPr>
            <w:r/>
            <w:r>
              <w:rPr>
                <w:rFonts w:ascii="Times New Roman" w:hAnsi="Times New Roman"/>
                <w:b w:val="0"/>
                <w:color w:val="262626"/>
                <w:sz w:val="18"/>
              </w:rPr>
              <w:t>Pre-pandemic growth (CAGR 2010-2019, %)</w:t>
            </w:r>
          </w:p>
        </w:tc>
        <w:tc>
          <w:tcPr>
            <w:tcW w:type="dxa" w:w="1247"/>
          </w:tcPr>
          <w:p>
            <w:pPr>
              <w:keepNext/>
              <w:spacing w:after="0" w:line="252" w:lineRule="auto"/>
            </w:pPr>
            <w:r/>
            <w:r>
              <w:rPr>
                <w:rFonts w:ascii="Times New Roman" w:hAnsi="Times New Roman"/>
                <w:b w:val="0"/>
                <w:color w:val="262626"/>
                <w:sz w:val="18"/>
              </w:rPr>
              <w:t>-0.29</w:t>
            </w:r>
          </w:p>
        </w:tc>
        <w:tc>
          <w:tcPr>
            <w:tcW w:type="dxa" w:w="1020"/>
          </w:tcPr>
          <w:p>
            <w:pPr>
              <w:keepNext/>
              <w:spacing w:after="0" w:line="252" w:lineRule="auto"/>
            </w:pPr>
            <w:r/>
            <w:r>
              <w:rPr>
                <w:rFonts w:ascii="Times New Roman" w:hAnsi="Times New Roman"/>
                <w:b w:val="0"/>
                <w:color w:val="262626"/>
                <w:sz w:val="18"/>
              </w:rPr>
              <w:t>0.380</w:t>
            </w:r>
          </w:p>
        </w:tc>
        <w:tc>
          <w:tcPr>
            <w:tcW w:type="dxa" w:w="1474"/>
          </w:tcPr>
          <w:p>
            <w:pPr>
              <w:keepNext/>
              <w:spacing w:after="0" w:line="252" w:lineRule="auto"/>
            </w:pPr>
            <w:r/>
            <w:r>
              <w:rPr>
                <w:rFonts w:ascii="Times New Roman" w:hAnsi="Times New Roman"/>
                <w:b w:val="0"/>
                <w:color w:val="262626"/>
                <w:sz w:val="18"/>
              </w:rPr>
              <w:t>-0.15</w:t>
            </w:r>
          </w:p>
        </w:tc>
        <w:tc>
          <w:tcPr>
            <w:tcW w:type="dxa" w:w="1020"/>
          </w:tcPr>
          <w:p>
            <w:pPr>
              <w:keepNext/>
              <w:spacing w:after="0" w:line="252" w:lineRule="auto"/>
            </w:pPr>
            <w:r/>
            <w:r>
              <w:rPr>
                <w:rFonts w:ascii="Times New Roman" w:hAnsi="Times New Roman"/>
                <w:b w:val="0"/>
                <w:color w:val="262626"/>
                <w:sz w:val="18"/>
              </w:rPr>
              <w:t>0.650</w:t>
            </w:r>
          </w:p>
        </w:tc>
      </w:tr>
      <w:tr>
        <w:trPr>
          <w:cantSplit/>
        </w:trPr>
        <w:tc>
          <w:tcPr>
            <w:tcW w:type="dxa" w:w="4082"/>
          </w:tcPr>
          <w:p>
            <w:pPr>
              <w:keepNext/>
              <w:spacing w:after="0" w:line="252" w:lineRule="auto"/>
            </w:pPr>
            <w:r/>
            <w:r>
              <w:rPr>
                <w:rFonts w:ascii="Times New Roman" w:hAnsi="Times New Roman"/>
                <w:b w:val="0"/>
                <w:color w:val="262626"/>
                <w:sz w:val="18"/>
              </w:rPr>
              <w:t>Market size (log10 journeys, 2019)</w:t>
            </w:r>
          </w:p>
        </w:tc>
        <w:tc>
          <w:tcPr>
            <w:tcW w:type="dxa" w:w="1247"/>
          </w:tcPr>
          <w:p>
            <w:pPr>
              <w:keepNext/>
              <w:spacing w:after="0" w:line="252" w:lineRule="auto"/>
            </w:pPr>
            <w:r/>
            <w:r>
              <w:rPr>
                <w:rFonts w:ascii="Times New Roman" w:hAnsi="Times New Roman"/>
                <w:b w:val="0"/>
                <w:color w:val="262626"/>
                <w:sz w:val="18"/>
              </w:rPr>
              <w:t>-0.38</w:t>
            </w:r>
          </w:p>
        </w:tc>
        <w:tc>
          <w:tcPr>
            <w:tcW w:type="dxa" w:w="1020"/>
          </w:tcPr>
          <w:p>
            <w:pPr>
              <w:keepNext/>
              <w:spacing w:after="0" w:line="252" w:lineRule="auto"/>
            </w:pPr>
            <w:r/>
            <w:r>
              <w:rPr>
                <w:rFonts w:ascii="Times New Roman" w:hAnsi="Times New Roman"/>
                <w:b w:val="0"/>
                <w:color w:val="262626"/>
                <w:sz w:val="18"/>
              </w:rPr>
              <w:t>0.249</w:t>
            </w:r>
          </w:p>
        </w:tc>
        <w:tc>
          <w:tcPr>
            <w:tcW w:type="dxa" w:w="1474"/>
          </w:tcPr>
          <w:p>
            <w:pPr>
              <w:keepNext/>
              <w:spacing w:after="0" w:line="252" w:lineRule="auto"/>
            </w:pPr>
            <w:r/>
            <w:r>
              <w:rPr>
                <w:rFonts w:ascii="Times New Roman" w:hAnsi="Times New Roman"/>
                <w:b w:val="0"/>
                <w:color w:val="262626"/>
                <w:sz w:val="18"/>
              </w:rPr>
              <w:t>-0.45</w:t>
            </w:r>
          </w:p>
        </w:tc>
        <w:tc>
          <w:tcPr>
            <w:tcW w:type="dxa" w:w="1020"/>
          </w:tcPr>
          <w:p>
            <w:pPr>
              <w:keepNext/>
              <w:spacing w:after="0" w:line="252" w:lineRule="auto"/>
            </w:pPr>
            <w:r/>
            <w:r>
              <w:rPr>
                <w:rFonts w:ascii="Times New Roman" w:hAnsi="Times New Roman"/>
                <w:b w:val="0"/>
                <w:color w:val="262626"/>
                <w:sz w:val="18"/>
              </w:rPr>
              <w:t>0.170</w:t>
            </w:r>
          </w:p>
        </w:tc>
      </w:tr>
      <w:tr>
        <w:trPr>
          <w:cantSplit/>
        </w:trPr>
        <w:tc>
          <w:tcPr>
            <w:tcW w:type="dxa" w:w="4082"/>
          </w:tcPr>
          <w:p>
            <w:pPr>
              <w:spacing w:after="0" w:line="252" w:lineRule="auto"/>
            </w:pPr>
            <w:r/>
            <w:r>
              <w:rPr>
                <w:rFonts w:ascii="Times New Roman" w:hAnsi="Times New Roman"/>
                <w:b w:val="0"/>
                <w:color w:val="262626"/>
                <w:sz w:val="18"/>
              </w:rPr>
              <w:t>Inter-regional journey share, 2019 (%)</w:t>
            </w:r>
          </w:p>
        </w:tc>
        <w:tc>
          <w:tcPr>
            <w:tcW w:type="dxa" w:w="1247"/>
          </w:tcPr>
          <w:p>
            <w:pPr>
              <w:spacing w:after="0" w:line="252" w:lineRule="auto"/>
            </w:pPr>
            <w:r/>
            <w:r>
              <w:rPr>
                <w:rFonts w:ascii="Times New Roman" w:hAnsi="Times New Roman"/>
                <w:b w:val="0"/>
                <w:color w:val="262626"/>
                <w:sz w:val="18"/>
              </w:rPr>
              <w:t>0.22</w:t>
            </w:r>
          </w:p>
        </w:tc>
        <w:tc>
          <w:tcPr>
            <w:tcW w:type="dxa" w:w="1020"/>
          </w:tcPr>
          <w:p>
            <w:pPr>
              <w:spacing w:after="0" w:line="252" w:lineRule="auto"/>
            </w:pPr>
            <w:r/>
            <w:r>
              <w:rPr>
                <w:rFonts w:ascii="Times New Roman" w:hAnsi="Times New Roman"/>
                <w:b w:val="0"/>
                <w:color w:val="262626"/>
                <w:sz w:val="18"/>
              </w:rPr>
              <w:t>0.525</w:t>
            </w:r>
          </w:p>
        </w:tc>
        <w:tc>
          <w:tcPr>
            <w:tcW w:type="dxa" w:w="1474"/>
          </w:tcPr>
          <w:p>
            <w:pPr>
              <w:spacing w:after="0" w:line="252" w:lineRule="auto"/>
            </w:pPr>
            <w:r/>
            <w:r>
              <w:rPr>
                <w:rFonts w:ascii="Times New Roman" w:hAnsi="Times New Roman"/>
                <w:b w:val="0"/>
                <w:color w:val="262626"/>
                <w:sz w:val="18"/>
              </w:rPr>
              <w:t>0.28</w:t>
            </w:r>
          </w:p>
        </w:tc>
        <w:tc>
          <w:tcPr>
            <w:tcW w:type="dxa" w:w="1020"/>
          </w:tcPr>
          <w:p>
            <w:pPr>
              <w:spacing w:after="0" w:line="252" w:lineRule="auto"/>
            </w:pPr>
            <w:r/>
            <w:r>
              <w:rPr>
                <w:rFonts w:ascii="Times New Roman" w:hAnsi="Times New Roman"/>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under the author's GitHub profile (https://github.com/Qjins) at https://github.com/Qjins/IJC437-UK-Rail-Recovery. The repository preserves the raw ORR tables, cleaned datasets, the three numbered analysis scripts, all figures and this report; the README states the research questions exactly as in Section 1.2, summarises the key findings, lists required R packages and gives step-by-step instructions for reproducing every result from the raw data. The code uses meaningful variable names and comments explaining intent; full listings are in Appendix A. A companion IJC445 Data Visualisation repository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reproducible from the raw files. A second lesson: a single metric can mislead, because level recovery, trend recovery and within-region distributions tell materially different stories; reporting them together is what makes the analysis useful.</w:t>
      </w:r>
    </w:p>
    <w:p>
      <w:pPr>
        <w:pStyle w:val="Heading3"/>
      </w:pPr>
      <w:r>
        <w:t>Future work</w:t>
      </w:r>
    </w:p>
    <w:p>
      <w:pPr>
        <w:jc w:val="both"/>
      </w:pPr>
      <w:r>
        <w:rPr>
          <w:b w:val="0"/>
          <w:i w:val="0"/>
        </w:rPr>
        <w:t>Future work should extend the analysis with quarterly data to capture seasonality, socio-economic covariates to model the drivers of recovery formally, and station-level clustering to map disparities within regions.</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portfolio role. Finally, that session's debate about automating people's jobs sharpened the social dimension: uneven rail recovery is an equity question about which communities the post-pandemic railway serves.</w:t>
      </w:r>
    </w:p>
    <w:p>
      <w:pPr>
        <w:pStyle w:val="Heading1"/>
        <w:pageBreakBefore/>
      </w:pPr>
      <w:r>
        <w:t>References</w:t>
      </w:r>
    </w:p>
    <w:p>
      <w:pPr>
        <w:spacing w:after="120"/>
        <w:ind w:left="567" w:hanging="567"/>
      </w:pPr>
      <w:r>
        <w:rPr>
          <w:sz w:val="20"/>
        </w:rPr>
        <w:t>Beck, M. J., &amp; Hensher, D. A. (2020). Insights into the impact of COVID-19 on household travel and activities in Australia -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Magriço,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(2022, July 11). Homeworking in the UK - regional patterns: 2019 to 2022. https://www.ons.gov.uk/employmentandlabourmarket/peopleinwork/employmentandemployeetypes/articles/homeworkingintheukregionalpatterns/2019to2022</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pPr>
        <w:pStyle w:val="Heading1"/>
        <w:pageBreakBefore/>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Times New Roman" w:hAnsi="Times New Roman" w:eastAsia="Times New Roman"/>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