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(Reassessment)</w:t>
      </w:r>
    </w:p>
    <w:p/>
    <w:p/>
    <w:p/>
    <w:p/>
    <w:p>
      <w:pPr>
        <w:spacing w:after="0"/>
        <w:pBdr>
          <w:bottom w:val="single" w:sz="12" w:space="1" w:color="000000"/>
        </w:pBdr>
      </w:pPr>
    </w:p>
    <w:p>
      <w:pPr>
        <w:spacing w:before="560" w:after="0"/>
        <w:jc w:val="center"/>
      </w:pPr>
      <w:r>
        <w:rPr>
          <w:rFonts w:ascii="Arial" w:hAnsi="Arial"/>
          <w:b/>
          <w:i w:val="0"/>
          <w:color w:val="000000"/>
          <w:sz w:val="48"/>
        </w:rPr>
        <w:t>Uneven Recovery of UK Rail</w:t>
      </w:r>
    </w:p>
    <w:p>
      <w:pPr>
        <w:spacing w:before="0" w:after="40"/>
        <w:jc w:val="center"/>
      </w:pPr>
      <w:r>
        <w:rPr>
          <w:rFonts w:ascii="Arial" w:hAnsi="Arial"/>
          <w:b/>
          <w:i w:val="0"/>
          <w:color w:val="000000"/>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Arial" w:hAnsi="Arial"/>
          <w:b/>
          <w:i w:val="0"/>
          <w:color w:val="000000"/>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000000"/>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000000"/>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000000"/>
          <w:sz w:val="21"/>
        </w:rPr>
        <w:t xml:space="preserve">Word count   </w:t>
      </w:r>
      <w:r>
        <w:rPr>
          <w:rFonts w:ascii="Arial" w:hAnsi="Arial"/>
          <w:b w:val="0"/>
          <w:i w:val="0"/>
          <w:color w:val="262626"/>
          <w:sz w:val="21"/>
        </w:rPr>
        <w:t>2,999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largely through homeworking (Magriço et al., 2023), and hybrid working remains concentrated in professional occupations and in London and the South East (Office for National Statistics [ONS], 2022,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national-average decisions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within-region variation at station level,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after cleaning, all 11 regions have complete series for all 30 years. The defect and its correction illustrate why automated validation checks are essential for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almost instantly: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clearly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additional journeys relative to 2019,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(Magriço et al., 2023), season tickets fell from 34% to 13% of journeys (ORR, 2025a), and homeworking rates are highest in London, the South East and the East of England (ONS, 2022).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 targeted at the weaker-recovery cluster.</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under the author's GitHub profile (https://github.com/Qjins) at https://github.com/Qjins/IJC437-UK-Rail-Recovery. The repository preserves the raw ORR tables, cleaned datasets, the three numbered analysis scripts, all figures and this report; the README states the research questions exactly as in Section 1.2, summarises the key findings, lists required R packages and gives step-by-step instructions for reproducing every result from the raw data. The code uses meaningful variable names and comments explaining intent; full listings are in Appendix A. A companion repository for the IJC445 Data Visualisation module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driven by within-region and leisure travel rather than commuting,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in this report reproducible from the raw files. A second lesson is that a single metric can mislead: level recovery, trend recovery and within-region distributions tell materially different stories; reporting them together is what makes the analysis useful.</w:t>
      </w:r>
    </w:p>
    <w:p>
      <w:pPr>
        <w:pStyle w:val="Heading2"/>
      </w:pPr>
      <w:r>
        <w:t>5.2 Engagement</w:t>
      </w:r>
    </w:p>
    <w:p>
      <w:pPr>
        <w:jc w:val="both"/>
      </w:pPr>
      <w:r>
        <w:rPr>
          <w:b w:val="0"/>
          <w:i w:val="0"/>
        </w:rPr>
        <w:t>Three engagement activities shaped this project directly. First, the Week 8 lecture on scoping data science projects examined why data-driven projects fail, citing poor scoping and data quality among the leading causes,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portfolio role. Finally, that session's debate about automating people's jobs sharpened the social dimension: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Magriço,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(2022, July 11). Homeworking in the UK - regional patterns: 2019 to 2022. https://www.ons.gov.uk/employmentandlabourmarket/peopleinwork/employmentandemployeetypes/articles/homeworkingintheukregionalpatterns/2019to2022</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