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i w:val="0"/>
          <w:color w:val="595959"/>
          <w:sz w:val="22"/>
        </w:rPr>
        <w:t>IJC437  ·  INTRODUCTION TO DATA SCIENCE</w:t>
      </w:r>
    </w:p>
    <w:p>
      <w:pPr>
        <w:spacing w:before="0" w:after="0"/>
        <w:jc w:val="center"/>
      </w:pPr>
      <w:r>
        <w:rPr>
          <w:rFonts w:ascii="Arial" w:hAnsi="Arial"/>
          <w:b w:val="0"/>
          <w:i w:val="0"/>
          <w:color w:val="595959"/>
          <w:sz w:val="20"/>
        </w:rPr>
        <w:t>Coursework 2025–26  ·  Reassessment</w:t>
      </w:r>
    </w:p>
    <w:p/>
    <w:p/>
    <w:p/>
    <w:p/>
    <w:p>
      <w:pPr>
        <w:spacing w:after="0"/>
        <w:pBdr>
          <w:bottom w:val="single" w:sz="12" w:space="1" w:color="000000"/>
        </w:pBdr>
      </w:pPr>
    </w:p>
    <w:p>
      <w:pPr>
        <w:spacing w:before="560" w:after="0"/>
        <w:jc w:val="center"/>
      </w:pPr>
      <w:r>
        <w:rPr>
          <w:rFonts w:ascii="Arial" w:hAnsi="Arial"/>
          <w:b/>
          <w:i w:val="0"/>
          <w:color w:val="000000"/>
          <w:sz w:val="48"/>
        </w:rPr>
        <w:t>Uneven Recovery of UK Rail</w:t>
      </w:r>
    </w:p>
    <w:p>
      <w:pPr>
        <w:spacing w:before="0" w:after="40"/>
        <w:jc w:val="center"/>
      </w:pPr>
      <w:r>
        <w:rPr>
          <w:rFonts w:ascii="Arial" w:hAnsi="Arial"/>
          <w:b/>
          <w:i w:val="0"/>
          <w:color w:val="000000"/>
          <w:sz w:val="48"/>
        </w:rPr>
        <w:t>Passenger Usage After COVID-19</w:t>
      </w:r>
    </w:p>
    <w:p>
      <w:pPr>
        <w:spacing w:before="160" w:after="480"/>
        <w:jc w:val="center"/>
      </w:pPr>
      <w:r>
        <w:rPr>
          <w:rFonts w:ascii="Arial" w:hAnsi="Arial"/>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Arial" w:hAnsi="Arial"/>
          <w:b/>
          <w:i w:val="0"/>
          <w:color w:val="000000"/>
          <w:sz w:val="21"/>
        </w:rPr>
        <w:t xml:space="preserve">Module   </w:t>
      </w:r>
      <w:r>
        <w:rPr>
          <w:rFonts w:ascii="Arial" w:hAnsi="Arial"/>
          <w:b w:val="0"/>
          <w:i w:val="0"/>
          <w:color w:val="262626"/>
          <w:sz w:val="21"/>
        </w:rPr>
        <w:t>IJC437 Introduction to Data Science</w:t>
      </w:r>
    </w:p>
    <w:p>
      <w:pPr>
        <w:spacing w:before="0" w:after="120"/>
        <w:jc w:val="center"/>
      </w:pPr>
      <w:r>
        <w:rPr>
          <w:rFonts w:ascii="Arial" w:hAnsi="Arial"/>
          <w:b/>
          <w:i w:val="0"/>
          <w:color w:val="000000"/>
          <w:sz w:val="21"/>
        </w:rPr>
        <w:t xml:space="preserve">Registration number   </w:t>
      </w:r>
      <w:r>
        <w:rPr>
          <w:rFonts w:ascii="Arial" w:hAnsi="Arial"/>
          <w:b w:val="0"/>
          <w:i w:val="0"/>
          <w:color w:val="262626"/>
          <w:sz w:val="21"/>
        </w:rPr>
        <w:t>250124790</w:t>
      </w:r>
    </w:p>
    <w:p>
      <w:pPr>
        <w:spacing w:before="0" w:after="120"/>
        <w:jc w:val="center"/>
      </w:pPr>
      <w:r>
        <w:rPr>
          <w:rFonts w:ascii="Arial" w:hAnsi="Arial"/>
          <w:b/>
          <w:i w:val="0"/>
          <w:color w:val="000000"/>
          <w:sz w:val="21"/>
        </w:rPr>
        <w:t xml:space="preserve">GitHub   </w:t>
      </w:r>
      <w:r>
        <w:rPr>
          <w:rFonts w:ascii="Arial" w:hAnsi="Arial"/>
          <w:b w:val="0"/>
          <w:i w:val="0"/>
          <w:color w:val="262626"/>
          <w:sz w:val="21"/>
        </w:rPr>
        <w:t>https://github.com/Qjins/IJC437-UK-Rail-Recovery</w:t>
      </w:r>
    </w:p>
    <w:p>
      <w:pPr>
        <w:spacing w:before="0" w:after="120"/>
        <w:jc w:val="center"/>
      </w:pPr>
      <w:r>
        <w:rPr>
          <w:rFonts w:ascii="Arial" w:hAnsi="Arial"/>
          <w:b/>
          <w:i w:val="0"/>
          <w:color w:val="000000"/>
          <w:sz w:val="21"/>
        </w:rPr>
        <w:t xml:space="preserve">Word count   </w:t>
      </w:r>
      <w:r>
        <w:rPr>
          <w:rFonts w:ascii="Arial" w:hAnsi="Arial"/>
          <w:b w:val="0"/>
          <w:i w:val="0"/>
          <w:color w:val="262626"/>
          <w:sz w:val="21"/>
        </w:rPr>
        <w:t>2,997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mainly because of homeworking (Magrico et al., 2023), and hybrid working remains concentrated in London and professional occupations (Office for National Statistics [ONS],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decisions based on national averages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within-region variation at station level,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Arial" w:hAnsi="Arial"/>
          <w:b/>
          <w:i/>
          <w:color w:val="595959"/>
          <w:sz w:val="19"/>
        </w:rPr>
        <w:t xml:space="preserve">Figure 1. </w:t>
      </w:r>
      <w:r>
        <w:rPr>
          <w:rFonts w:ascii="Arial" w:hAnsi="Arial"/>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Arial" w:hAnsi="Arial"/>
          <w:b/>
          <w:i/>
          <w:color w:val="595959"/>
          <w:sz w:val="19"/>
        </w:rPr>
        <w:t xml:space="preserve">Table 1. </w:t>
      </w:r>
      <w:r>
        <w:rPr>
          <w:rFonts w:ascii="Arial" w:hAnsi="Arial"/>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Arial" w:hAnsi="Arial"/>
                <w:b/>
                <w:color w:val="1F3864"/>
                <w:sz w:val="18"/>
              </w:rPr>
              <w:t>Dataset</w:t>
            </w:r>
          </w:p>
        </w:tc>
        <w:tc>
          <w:tcPr>
            <w:tcW w:type="dxa" w:w="3969"/>
            <w:shd w:val="clear" w:fill="EDF1F8"/>
          </w:tcPr>
          <w:p>
            <w:pPr>
              <w:keepNext/>
              <w:spacing w:after="0" w:line="252" w:lineRule="auto"/>
            </w:pPr>
            <w:r/>
            <w:r>
              <w:rPr>
                <w:rFonts w:ascii="Arial" w:hAnsi="Arial"/>
                <w:b/>
                <w:color w:val="1F3864"/>
                <w:sz w:val="18"/>
              </w:rPr>
              <w:t>Content</w:t>
            </w:r>
          </w:p>
        </w:tc>
        <w:tc>
          <w:tcPr>
            <w:tcW w:type="dxa" w:w="1928"/>
            <w:shd w:val="clear" w:fill="EDF1F8"/>
          </w:tcPr>
          <w:p>
            <w:pPr>
              <w:keepNext/>
              <w:spacing w:after="0" w:line="252" w:lineRule="auto"/>
            </w:pPr>
            <w:r/>
            <w:r>
              <w:rPr>
                <w:rFonts w:ascii="Arial" w:hAnsi="Arial"/>
                <w:b/>
                <w:color w:val="1F3864"/>
                <w:sz w:val="18"/>
              </w:rPr>
              <w:t>Coverage</w:t>
            </w:r>
          </w:p>
        </w:tc>
        <w:tc>
          <w:tcPr>
            <w:tcW w:type="dxa" w:w="1701"/>
            <w:shd w:val="clear" w:fill="EDF1F8"/>
          </w:tcPr>
          <w:p>
            <w:pPr>
              <w:keepNext/>
              <w:spacing w:after="0" w:line="252" w:lineRule="auto"/>
            </w:pPr>
            <w:r/>
            <w:r>
              <w:rPr>
                <w:rFonts w:ascii="Arial" w:hAnsi="Arial"/>
                <w:b/>
                <w:color w:val="1F3864"/>
                <w:sz w:val="18"/>
              </w:rPr>
              <w:t>Size after cleaning</w:t>
            </w:r>
          </w:p>
        </w:tc>
      </w:tr>
      <w:tr>
        <w:trPr>
          <w:cantSplit/>
        </w:trPr>
        <w:tc>
          <w:tcPr>
            <w:tcW w:type="dxa" w:w="1814"/>
          </w:tcPr>
          <w:p>
            <w:pPr>
              <w:keepNext/>
              <w:spacing w:after="0" w:line="252" w:lineRule="auto"/>
            </w:pPr>
            <w:r/>
            <w:r>
              <w:rPr>
                <w:rFonts w:ascii="Arial" w:hAnsi="Arial"/>
                <w:b w:val="0"/>
                <w:color w:val="262626"/>
                <w:sz w:val="18"/>
              </w:rPr>
              <w:t>ORR Table 1510</w:t>
            </w:r>
          </w:p>
        </w:tc>
        <w:tc>
          <w:tcPr>
            <w:tcW w:type="dxa" w:w="3969"/>
          </w:tcPr>
          <w:p>
            <w:pPr>
              <w:keepNext/>
              <w:spacing w:after="0" w:line="252" w:lineRule="auto"/>
            </w:pPr>
            <w:r/>
            <w:r>
              <w:rPr>
                <w:rFonts w:ascii="Arial" w:hAnsi="Arial"/>
                <w:b w:val="0"/>
                <w:color w:val="262626"/>
                <w:sz w:val="18"/>
              </w:rPr>
              <w:t>National passenger journeys between and within England, Scotland and Wales</w:t>
            </w:r>
          </w:p>
        </w:tc>
        <w:tc>
          <w:tcPr>
            <w:tcW w:type="dxa" w:w="1928"/>
          </w:tcPr>
          <w:p>
            <w:pPr>
              <w:keepNext/>
              <w:spacing w:after="0" w:line="252" w:lineRule="auto"/>
            </w:pPr>
            <w:r/>
            <w:r>
              <w:rPr>
                <w:rFonts w:ascii="Arial" w:hAnsi="Arial"/>
                <w:b w:val="0"/>
                <w:color w:val="262626"/>
                <w:sz w:val="18"/>
              </w:rPr>
              <w:t>1996-2025 rail years</w:t>
            </w:r>
          </w:p>
        </w:tc>
        <w:tc>
          <w:tcPr>
            <w:tcW w:type="dxa" w:w="1701"/>
          </w:tcPr>
          <w:p>
            <w:pPr>
              <w:keepNext/>
              <w:spacing w:after="0" w:line="252" w:lineRule="auto"/>
            </w:pPr>
            <w:r/>
            <w:r>
              <w:rPr>
                <w:rFonts w:ascii="Arial" w:hAnsi="Arial"/>
                <w:b w:val="0"/>
                <w:color w:val="262626"/>
                <w:sz w:val="18"/>
              </w:rPr>
              <w:t>30 annual observations</w:t>
            </w:r>
          </w:p>
        </w:tc>
      </w:tr>
      <w:tr>
        <w:trPr>
          <w:cantSplit/>
        </w:trPr>
        <w:tc>
          <w:tcPr>
            <w:tcW w:type="dxa" w:w="1814"/>
          </w:tcPr>
          <w:p>
            <w:pPr>
              <w:keepNext/>
              <w:spacing w:after="0" w:line="252" w:lineRule="auto"/>
            </w:pPr>
            <w:r/>
            <w:r>
              <w:rPr>
                <w:rFonts w:ascii="Arial" w:hAnsi="Arial"/>
                <w:b w:val="0"/>
                <w:color w:val="262626"/>
                <w:sz w:val="18"/>
              </w:rPr>
              <w:t>ORR Tables 1540-1590</w:t>
            </w:r>
          </w:p>
        </w:tc>
        <w:tc>
          <w:tcPr>
            <w:tcW w:type="dxa" w:w="3969"/>
          </w:tcPr>
          <w:p>
            <w:pPr>
              <w:keepNext/>
              <w:spacing w:after="0" w:line="252" w:lineRule="auto"/>
            </w:pPr>
            <w:r/>
            <w:r>
              <w:rPr>
                <w:rFonts w:ascii="Arial" w:hAnsi="Arial"/>
                <w:b w:val="0"/>
                <w:color w:val="262626"/>
                <w:sz w:val="18"/>
              </w:rPr>
              <w:t>Passenger journeys to, from and within each region (total, within-region and inter-regional journeys)</w:t>
            </w:r>
          </w:p>
        </w:tc>
        <w:tc>
          <w:tcPr>
            <w:tcW w:type="dxa" w:w="1928"/>
          </w:tcPr>
          <w:p>
            <w:pPr>
              <w:keepNext/>
              <w:spacing w:after="0" w:line="252" w:lineRule="auto"/>
            </w:pPr>
            <w:r/>
            <w:r>
              <w:rPr>
                <w:rFonts w:ascii="Arial" w:hAnsi="Arial"/>
                <w:b w:val="0"/>
                <w:color w:val="262626"/>
                <w:sz w:val="18"/>
              </w:rPr>
              <w:t>1996-2025 rail years, 11 regions</w:t>
            </w:r>
          </w:p>
        </w:tc>
        <w:tc>
          <w:tcPr>
            <w:tcW w:type="dxa" w:w="1701"/>
          </w:tcPr>
          <w:p>
            <w:pPr>
              <w:keepNext/>
              <w:spacing w:after="0" w:line="252" w:lineRule="auto"/>
            </w:pPr>
            <w:r/>
            <w:r>
              <w:rPr>
                <w:rFonts w:ascii="Arial" w:hAnsi="Arial"/>
                <w:b w:val="0"/>
                <w:color w:val="262626"/>
                <w:sz w:val="18"/>
              </w:rPr>
              <w:t>330 region-year observations</w:t>
            </w:r>
          </w:p>
        </w:tc>
      </w:tr>
      <w:tr>
        <w:trPr>
          <w:cantSplit/>
        </w:trPr>
        <w:tc>
          <w:tcPr>
            <w:tcW w:type="dxa" w:w="1814"/>
          </w:tcPr>
          <w:p>
            <w:pPr>
              <w:spacing w:after="0" w:line="252" w:lineRule="auto"/>
            </w:pPr>
            <w:r/>
            <w:r>
              <w:rPr>
                <w:rFonts w:ascii="Arial" w:hAnsi="Arial"/>
                <w:b w:val="0"/>
                <w:color w:val="262626"/>
                <w:sz w:val="18"/>
              </w:rPr>
              <w:t>ORR Table 1415a</w:t>
            </w:r>
          </w:p>
        </w:tc>
        <w:tc>
          <w:tcPr>
            <w:tcW w:type="dxa" w:w="3969"/>
          </w:tcPr>
          <w:p>
            <w:pPr>
              <w:spacing w:after="0" w:line="252" w:lineRule="auto"/>
            </w:pPr>
            <w:r/>
            <w:r>
              <w:rPr>
                <w:rFonts w:ascii="Arial" w:hAnsi="Arial"/>
                <w:b w:val="0"/>
                <w:color w:val="262626"/>
                <w:sz w:val="18"/>
              </w:rPr>
              <w:t>Estimated entries and exits by station</w:t>
            </w:r>
          </w:p>
        </w:tc>
        <w:tc>
          <w:tcPr>
            <w:tcW w:type="dxa" w:w="1928"/>
          </w:tcPr>
          <w:p>
            <w:pPr>
              <w:spacing w:after="0" w:line="252" w:lineRule="auto"/>
            </w:pPr>
            <w:r/>
            <w:r>
              <w:rPr>
                <w:rFonts w:ascii="Arial" w:hAnsi="Arial"/>
                <w:b w:val="0"/>
                <w:color w:val="262626"/>
                <w:sz w:val="18"/>
              </w:rPr>
              <w:t>2019 and 2025 rail years</w:t>
            </w:r>
          </w:p>
        </w:tc>
        <w:tc>
          <w:tcPr>
            <w:tcW w:type="dxa" w:w="1701"/>
          </w:tcPr>
          <w:p>
            <w:pPr>
              <w:spacing w:after="0" w:line="252" w:lineRule="auto"/>
            </w:pPr>
            <w:r/>
            <w:r>
              <w:rPr>
                <w:rFonts w:ascii="Arial" w:hAnsi="Arial"/>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after cleaning, all 11 regions have complete series for all 30 years. The defect and its correction illustrate why automated validation checks are essential when ingesting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almost instantly: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Arial" w:hAnsi="Arial"/>
          <w:b/>
          <w:i/>
          <w:color w:val="595959"/>
          <w:sz w:val="19"/>
        </w:rPr>
        <w:t xml:space="preserve">Figure 2. </w:t>
      </w:r>
      <w:r>
        <w:rPr>
          <w:rFonts w:ascii="Arial" w:hAnsi="Arial"/>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clearly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Arial" w:hAnsi="Arial"/>
          <w:b/>
          <w:i/>
          <w:color w:val="595959"/>
          <w:sz w:val="19"/>
        </w:rPr>
        <w:t xml:space="preserve">Figure 3. </w:t>
      </w:r>
      <w:r>
        <w:rPr>
          <w:rFonts w:ascii="Arial" w:hAnsi="Arial"/>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4. </w:t>
      </w:r>
      <w:r>
        <w:rPr>
          <w:rFonts w:ascii="Arial" w:hAnsi="Arial"/>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Arial" w:hAnsi="Arial"/>
          <w:b/>
          <w:i/>
          <w:color w:val="595959"/>
          <w:sz w:val="19"/>
        </w:rPr>
        <w:t xml:space="preserve">Table 2. </w:t>
      </w:r>
      <w:r>
        <w:rPr>
          <w:rFonts w:ascii="Arial" w:hAnsi="Arial"/>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Arial" w:hAnsi="Arial"/>
                <w:b/>
                <w:color w:val="1F3864"/>
                <w:sz w:val="18"/>
              </w:rPr>
              <w:t>Region</w:t>
            </w:r>
          </w:p>
        </w:tc>
        <w:tc>
          <w:tcPr>
            <w:tcW w:type="dxa" w:w="1474"/>
            <w:shd w:val="clear" w:fill="EDF1F8"/>
          </w:tcPr>
          <w:p>
            <w:pPr>
              <w:keepNext/>
              <w:spacing w:after="0" w:line="252" w:lineRule="auto"/>
            </w:pPr>
            <w:r/>
            <w:r>
              <w:rPr>
                <w:rFonts w:ascii="Arial" w:hAnsi="Arial"/>
                <w:b/>
                <w:color w:val="1F3864"/>
                <w:sz w:val="18"/>
              </w:rPr>
              <w:t>Journeys 2025 (m)</w:t>
            </w:r>
          </w:p>
        </w:tc>
        <w:tc>
          <w:tcPr>
            <w:tcW w:type="dxa" w:w="1247"/>
            <w:shd w:val="clear" w:fill="EDF1F8"/>
          </w:tcPr>
          <w:p>
            <w:pPr>
              <w:keepNext/>
              <w:spacing w:after="0" w:line="252" w:lineRule="auto"/>
            </w:pPr>
            <w:r/>
            <w:r>
              <w:rPr>
                <w:rFonts w:ascii="Arial" w:hAnsi="Arial"/>
                <w:b/>
                <w:color w:val="1F3864"/>
                <w:sz w:val="18"/>
              </w:rPr>
              <w:t>Index 2025</w:t>
            </w:r>
          </w:p>
        </w:tc>
        <w:tc>
          <w:tcPr>
            <w:tcW w:type="dxa" w:w="1361"/>
            <w:shd w:val="clear" w:fill="EDF1F8"/>
          </w:tcPr>
          <w:p>
            <w:pPr>
              <w:keepNext/>
              <w:spacing w:after="0" w:line="252" w:lineRule="auto"/>
            </w:pPr>
            <w:r/>
            <w:r>
              <w:rPr>
                <w:rFonts w:ascii="Arial" w:hAnsi="Arial"/>
                <w:b/>
                <w:color w:val="1F3864"/>
                <w:sz w:val="18"/>
              </w:rPr>
              <w:t>Recovery gap</w:t>
            </w:r>
          </w:p>
        </w:tc>
        <w:tc>
          <w:tcPr>
            <w:tcW w:type="dxa" w:w="1814"/>
            <w:shd w:val="clear" w:fill="EDF1F8"/>
          </w:tcPr>
          <w:p>
            <w:pPr>
              <w:keepNext/>
              <w:spacing w:after="0" w:line="252" w:lineRule="auto"/>
            </w:pPr>
            <w:r/>
            <w:r>
              <w:rPr>
                <w:rFonts w:ascii="Arial" w:hAnsi="Arial"/>
                <w:b/>
                <w:color w:val="1F3864"/>
                <w:sz w:val="18"/>
              </w:rPr>
              <w:t>Vs 2010-2019 trend (%)</w:t>
            </w:r>
          </w:p>
        </w:tc>
        <w:tc>
          <w:tcPr>
            <w:tcW w:type="dxa" w:w="1587"/>
            <w:shd w:val="clear" w:fill="EDF1F8"/>
          </w:tcPr>
          <w:p>
            <w:pPr>
              <w:keepNext/>
              <w:spacing w:after="0" w:line="252" w:lineRule="auto"/>
            </w:pPr>
            <w:r/>
            <w:r>
              <w:rPr>
                <w:rFonts w:ascii="Arial" w:hAnsi="Arial"/>
                <w:b/>
                <w:color w:val="1F3864"/>
                <w:sz w:val="18"/>
              </w:rPr>
              <w:t>Cluster</w:t>
            </w:r>
          </w:p>
        </w:tc>
      </w:tr>
      <w:tr>
        <w:trPr>
          <w:cantSplit/>
        </w:trPr>
        <w:tc>
          <w:tcPr>
            <w:tcW w:type="dxa" w:w="2381"/>
          </w:tcPr>
          <w:p>
            <w:pPr>
              <w:keepNext/>
              <w:spacing w:after="0" w:line="252" w:lineRule="auto"/>
            </w:pPr>
            <w:r/>
            <w:r>
              <w:rPr>
                <w:rFonts w:ascii="Arial" w:hAnsi="Arial"/>
                <w:b w:val="0"/>
                <w:color w:val="262626"/>
                <w:sz w:val="18"/>
              </w:rPr>
              <w:t>North East</w:t>
            </w:r>
          </w:p>
        </w:tc>
        <w:tc>
          <w:tcPr>
            <w:tcW w:type="dxa" w:w="1474"/>
          </w:tcPr>
          <w:p>
            <w:pPr>
              <w:keepNext/>
              <w:spacing w:after="0" w:line="252" w:lineRule="auto"/>
            </w:pPr>
            <w:r/>
            <w:r>
              <w:rPr>
                <w:rFonts w:ascii="Arial" w:hAnsi="Arial"/>
                <w:b w:val="0"/>
                <w:color w:val="262626"/>
                <w:sz w:val="18"/>
              </w:rPr>
              <w:t>19.1</w:t>
            </w:r>
          </w:p>
        </w:tc>
        <w:tc>
          <w:tcPr>
            <w:tcW w:type="dxa" w:w="1247"/>
          </w:tcPr>
          <w:p>
            <w:pPr>
              <w:keepNext/>
              <w:spacing w:after="0" w:line="252" w:lineRule="auto"/>
            </w:pPr>
            <w:r/>
            <w:r>
              <w:rPr>
                <w:rFonts w:ascii="Arial" w:hAnsi="Arial"/>
                <w:b w:val="0"/>
                <w:color w:val="262626"/>
                <w:sz w:val="18"/>
              </w:rPr>
              <w:t>117.4</w:t>
            </w:r>
          </w:p>
        </w:tc>
        <w:tc>
          <w:tcPr>
            <w:tcW w:type="dxa" w:w="1361"/>
          </w:tcPr>
          <w:p>
            <w:pPr>
              <w:keepNext/>
              <w:spacing w:after="0" w:line="252" w:lineRule="auto"/>
            </w:pPr>
            <w:r/>
            <w:r>
              <w:rPr>
                <w:rFonts w:ascii="Arial" w:hAnsi="Arial"/>
                <w:b w:val="0"/>
                <w:color w:val="262626"/>
                <w:sz w:val="18"/>
              </w:rPr>
              <w:t>+17.4</w:t>
            </w:r>
          </w:p>
        </w:tc>
        <w:tc>
          <w:tcPr>
            <w:tcW w:type="dxa" w:w="1814"/>
          </w:tcPr>
          <w:p>
            <w:pPr>
              <w:keepNext/>
              <w:spacing w:after="0" w:line="252" w:lineRule="auto"/>
            </w:pPr>
            <w:r/>
            <w:r>
              <w:rPr>
                <w:rFonts w:ascii="Arial" w:hAnsi="Arial"/>
                <w:b w:val="0"/>
                <w:color w:val="262626"/>
                <w:sz w:val="18"/>
              </w:rPr>
              <w:t>+4.8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South West</w:t>
            </w:r>
          </w:p>
        </w:tc>
        <w:tc>
          <w:tcPr>
            <w:tcW w:type="dxa" w:w="1474"/>
          </w:tcPr>
          <w:p>
            <w:pPr>
              <w:keepNext/>
              <w:spacing w:after="0" w:line="252" w:lineRule="auto"/>
            </w:pPr>
            <w:r/>
            <w:r>
              <w:rPr>
                <w:rFonts w:ascii="Arial" w:hAnsi="Arial"/>
                <w:b w:val="0"/>
                <w:color w:val="262626"/>
                <w:sz w:val="18"/>
              </w:rPr>
              <w:t>55.7</w:t>
            </w:r>
          </w:p>
        </w:tc>
        <w:tc>
          <w:tcPr>
            <w:tcW w:type="dxa" w:w="1247"/>
          </w:tcPr>
          <w:p>
            <w:pPr>
              <w:keepNext/>
              <w:spacing w:after="0" w:line="252" w:lineRule="auto"/>
            </w:pPr>
            <w:r/>
            <w:r>
              <w:rPr>
                <w:rFonts w:ascii="Arial" w:hAnsi="Arial"/>
                <w:b w:val="0"/>
                <w:color w:val="262626"/>
                <w:sz w:val="18"/>
              </w:rPr>
              <w:t>106.7</w:t>
            </w:r>
          </w:p>
        </w:tc>
        <w:tc>
          <w:tcPr>
            <w:tcW w:type="dxa" w:w="1361"/>
          </w:tcPr>
          <w:p>
            <w:pPr>
              <w:keepNext/>
              <w:spacing w:after="0" w:line="252" w:lineRule="auto"/>
            </w:pPr>
            <w:r/>
            <w:r>
              <w:rPr>
                <w:rFonts w:ascii="Arial" w:hAnsi="Arial"/>
                <w:b w:val="0"/>
                <w:color w:val="262626"/>
                <w:sz w:val="18"/>
              </w:rPr>
              <w:t>+6.7</w:t>
            </w:r>
          </w:p>
        </w:tc>
        <w:tc>
          <w:tcPr>
            <w:tcW w:type="dxa" w:w="1814"/>
          </w:tcPr>
          <w:p>
            <w:pPr>
              <w:keepNext/>
              <w:spacing w:after="0" w:line="252" w:lineRule="auto"/>
            </w:pPr>
            <w:r/>
            <w:r>
              <w:rPr>
                <w:rFonts w:ascii="Arial" w:hAnsi="Arial"/>
                <w:b w:val="0"/>
                <w:color w:val="262626"/>
                <w:sz w:val="18"/>
              </w:rPr>
              <w:t>-10.0</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London</w:t>
            </w:r>
          </w:p>
        </w:tc>
        <w:tc>
          <w:tcPr>
            <w:tcW w:type="dxa" w:w="1474"/>
          </w:tcPr>
          <w:p>
            <w:pPr>
              <w:keepNext/>
              <w:spacing w:after="0" w:line="252" w:lineRule="auto"/>
            </w:pPr>
            <w:r/>
            <w:r>
              <w:rPr>
                <w:rFonts w:ascii="Arial" w:hAnsi="Arial"/>
                <w:b w:val="0"/>
                <w:color w:val="262626"/>
                <w:sz w:val="18"/>
              </w:rPr>
              <w:t>1008.7</w:t>
            </w:r>
          </w:p>
        </w:tc>
        <w:tc>
          <w:tcPr>
            <w:tcW w:type="dxa" w:w="1247"/>
          </w:tcPr>
          <w:p>
            <w:pPr>
              <w:keepNext/>
              <w:spacing w:after="0" w:line="252" w:lineRule="auto"/>
            </w:pPr>
            <w:r/>
            <w:r>
              <w:rPr>
                <w:rFonts w:ascii="Arial" w:hAnsi="Arial"/>
                <w:b w:val="0"/>
                <w:color w:val="262626"/>
                <w:sz w:val="18"/>
              </w:rPr>
              <w:t>105.1</w:t>
            </w:r>
          </w:p>
        </w:tc>
        <w:tc>
          <w:tcPr>
            <w:tcW w:type="dxa" w:w="1361"/>
          </w:tcPr>
          <w:p>
            <w:pPr>
              <w:keepNext/>
              <w:spacing w:after="0" w:line="252" w:lineRule="auto"/>
            </w:pPr>
            <w:r/>
            <w:r>
              <w:rPr>
                <w:rFonts w:ascii="Arial" w:hAnsi="Arial"/>
                <w:b w:val="0"/>
                <w:color w:val="262626"/>
                <w:sz w:val="18"/>
              </w:rPr>
              <w:t>+5.1</w:t>
            </w:r>
          </w:p>
        </w:tc>
        <w:tc>
          <w:tcPr>
            <w:tcW w:type="dxa" w:w="1814"/>
          </w:tcPr>
          <w:p>
            <w:pPr>
              <w:keepNext/>
              <w:spacing w:after="0" w:line="252" w:lineRule="auto"/>
            </w:pPr>
            <w:r/>
            <w:r>
              <w:rPr>
                <w:rFonts w:ascii="Arial" w:hAnsi="Arial"/>
                <w:b w:val="0"/>
                <w:color w:val="262626"/>
                <w:sz w:val="18"/>
              </w:rPr>
              <w:t>-16.5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Midlands</w:t>
            </w:r>
          </w:p>
        </w:tc>
        <w:tc>
          <w:tcPr>
            <w:tcW w:type="dxa" w:w="1474"/>
          </w:tcPr>
          <w:p>
            <w:pPr>
              <w:keepNext/>
              <w:spacing w:after="0" w:line="252" w:lineRule="auto"/>
            </w:pPr>
            <w:r/>
            <w:r>
              <w:rPr>
                <w:rFonts w:ascii="Arial" w:hAnsi="Arial"/>
                <w:b w:val="0"/>
                <w:color w:val="262626"/>
                <w:sz w:val="18"/>
              </w:rPr>
              <w:t>36.4</w:t>
            </w:r>
          </w:p>
        </w:tc>
        <w:tc>
          <w:tcPr>
            <w:tcW w:type="dxa" w:w="1247"/>
          </w:tcPr>
          <w:p>
            <w:pPr>
              <w:keepNext/>
              <w:spacing w:after="0" w:line="252" w:lineRule="auto"/>
            </w:pPr>
            <w:r/>
            <w:r>
              <w:rPr>
                <w:rFonts w:ascii="Arial" w:hAnsi="Arial"/>
                <w:b w:val="0"/>
                <w:color w:val="262626"/>
                <w:sz w:val="18"/>
              </w:rPr>
              <w:t>99.9</w:t>
            </w:r>
          </w:p>
        </w:tc>
        <w:tc>
          <w:tcPr>
            <w:tcW w:type="dxa" w:w="1361"/>
          </w:tcPr>
          <w:p>
            <w:pPr>
              <w:keepNext/>
              <w:spacing w:after="0" w:line="252" w:lineRule="auto"/>
            </w:pPr>
            <w:r/>
            <w:r>
              <w:rPr>
                <w:rFonts w:ascii="Arial" w:hAnsi="Arial"/>
                <w:b w:val="0"/>
                <w:color w:val="262626"/>
                <w:sz w:val="18"/>
              </w:rPr>
              <w:t>-0.1</w:t>
            </w:r>
          </w:p>
        </w:tc>
        <w:tc>
          <w:tcPr>
            <w:tcW w:type="dxa" w:w="1814"/>
          </w:tcPr>
          <w:p>
            <w:pPr>
              <w:keepNext/>
              <w:spacing w:after="0" w:line="252" w:lineRule="auto"/>
            </w:pPr>
            <w:r/>
            <w:r>
              <w:rPr>
                <w:rFonts w:ascii="Arial" w:hAnsi="Arial"/>
                <w:b w:val="0"/>
                <w:color w:val="262626"/>
                <w:sz w:val="18"/>
              </w:rPr>
              <w:t>-13.5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Yorkshire and the Humber</w:t>
            </w:r>
          </w:p>
        </w:tc>
        <w:tc>
          <w:tcPr>
            <w:tcW w:type="dxa" w:w="1474"/>
          </w:tcPr>
          <w:p>
            <w:pPr>
              <w:keepNext/>
              <w:spacing w:after="0" w:line="252" w:lineRule="auto"/>
            </w:pPr>
            <w:r/>
            <w:r>
              <w:rPr>
                <w:rFonts w:ascii="Arial" w:hAnsi="Arial"/>
                <w:b w:val="0"/>
                <w:color w:val="262626"/>
                <w:sz w:val="18"/>
              </w:rPr>
              <w:t>72.0</w:t>
            </w:r>
          </w:p>
        </w:tc>
        <w:tc>
          <w:tcPr>
            <w:tcW w:type="dxa" w:w="1247"/>
          </w:tcPr>
          <w:p>
            <w:pPr>
              <w:keepNext/>
              <w:spacing w:after="0" w:line="252" w:lineRule="auto"/>
            </w:pPr>
            <w:r/>
            <w:r>
              <w:rPr>
                <w:rFonts w:ascii="Arial" w:hAnsi="Arial"/>
                <w:b w:val="0"/>
                <w:color w:val="262626"/>
                <w:sz w:val="18"/>
              </w:rPr>
              <w:t>98.1</w:t>
            </w:r>
          </w:p>
        </w:tc>
        <w:tc>
          <w:tcPr>
            <w:tcW w:type="dxa" w:w="1361"/>
          </w:tcPr>
          <w:p>
            <w:pPr>
              <w:keepNext/>
              <w:spacing w:after="0" w:line="252" w:lineRule="auto"/>
            </w:pPr>
            <w:r/>
            <w:r>
              <w:rPr>
                <w:rFonts w:ascii="Arial" w:hAnsi="Arial"/>
                <w:b w:val="0"/>
                <w:color w:val="262626"/>
                <w:sz w:val="18"/>
              </w:rPr>
              <w:t>-1.9</w:t>
            </w:r>
          </w:p>
        </w:tc>
        <w:tc>
          <w:tcPr>
            <w:tcW w:type="dxa" w:w="1814"/>
          </w:tcPr>
          <w:p>
            <w:pPr>
              <w:keepNext/>
              <w:spacing w:after="0" w:line="252" w:lineRule="auto"/>
            </w:pPr>
            <w:r/>
            <w:r>
              <w:rPr>
                <w:rFonts w:ascii="Arial" w:hAnsi="Arial"/>
                <w:b w:val="0"/>
                <w:color w:val="262626"/>
                <w:sz w:val="18"/>
              </w:rPr>
              <w:t>-17.8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Wales</w:t>
            </w:r>
          </w:p>
        </w:tc>
        <w:tc>
          <w:tcPr>
            <w:tcW w:type="dxa" w:w="1474"/>
          </w:tcPr>
          <w:p>
            <w:pPr>
              <w:keepNext/>
              <w:spacing w:after="0" w:line="252" w:lineRule="auto"/>
            </w:pPr>
            <w:r/>
            <w:r>
              <w:rPr>
                <w:rFonts w:ascii="Arial" w:hAnsi="Arial"/>
                <w:b w:val="0"/>
                <w:color w:val="262626"/>
                <w:sz w:val="18"/>
              </w:rPr>
              <w:t>30.0</w:t>
            </w:r>
          </w:p>
        </w:tc>
        <w:tc>
          <w:tcPr>
            <w:tcW w:type="dxa" w:w="1247"/>
          </w:tcPr>
          <w:p>
            <w:pPr>
              <w:keepNext/>
              <w:spacing w:after="0" w:line="252" w:lineRule="auto"/>
            </w:pPr>
            <w:r/>
            <w:r>
              <w:rPr>
                <w:rFonts w:ascii="Arial" w:hAnsi="Arial"/>
                <w:b w:val="0"/>
                <w:color w:val="262626"/>
                <w:sz w:val="18"/>
              </w:rPr>
              <w:t>96.6</w:t>
            </w:r>
          </w:p>
        </w:tc>
        <w:tc>
          <w:tcPr>
            <w:tcW w:type="dxa" w:w="1361"/>
          </w:tcPr>
          <w:p>
            <w:pPr>
              <w:keepNext/>
              <w:spacing w:after="0" w:line="252" w:lineRule="auto"/>
            </w:pPr>
            <w:r/>
            <w:r>
              <w:rPr>
                <w:rFonts w:ascii="Arial" w:hAnsi="Arial"/>
                <w:b w:val="0"/>
                <w:color w:val="262626"/>
                <w:sz w:val="18"/>
              </w:rPr>
              <w:t>-3.4</w:t>
            </w:r>
          </w:p>
        </w:tc>
        <w:tc>
          <w:tcPr>
            <w:tcW w:type="dxa" w:w="1814"/>
          </w:tcPr>
          <w:p>
            <w:pPr>
              <w:keepNext/>
              <w:spacing w:after="0" w:line="252" w:lineRule="auto"/>
            </w:pPr>
            <w:r/>
            <w:r>
              <w:rPr>
                <w:rFonts w:ascii="Arial" w:hAnsi="Arial"/>
                <w:b w:val="0"/>
                <w:color w:val="262626"/>
                <w:sz w:val="18"/>
              </w:rPr>
              <w:t>-13.7</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North West</w:t>
            </w:r>
          </w:p>
        </w:tc>
        <w:tc>
          <w:tcPr>
            <w:tcW w:type="dxa" w:w="1474"/>
          </w:tcPr>
          <w:p>
            <w:pPr>
              <w:keepNext/>
              <w:spacing w:after="0" w:line="252" w:lineRule="auto"/>
            </w:pPr>
            <w:r/>
            <w:r>
              <w:rPr>
                <w:rFonts w:ascii="Arial" w:hAnsi="Arial"/>
                <w:b w:val="0"/>
                <w:color w:val="262626"/>
                <w:sz w:val="18"/>
              </w:rPr>
              <w:t>131.4</w:t>
            </w:r>
          </w:p>
        </w:tc>
        <w:tc>
          <w:tcPr>
            <w:tcW w:type="dxa" w:w="1247"/>
          </w:tcPr>
          <w:p>
            <w:pPr>
              <w:keepNext/>
              <w:spacing w:after="0" w:line="252" w:lineRule="auto"/>
            </w:pPr>
            <w:r/>
            <w:r>
              <w:rPr>
                <w:rFonts w:ascii="Arial" w:hAnsi="Arial"/>
                <w:b w:val="0"/>
                <w:color w:val="262626"/>
                <w:sz w:val="18"/>
              </w:rPr>
              <w:t>96.0</w:t>
            </w:r>
          </w:p>
        </w:tc>
        <w:tc>
          <w:tcPr>
            <w:tcW w:type="dxa" w:w="1361"/>
          </w:tcPr>
          <w:p>
            <w:pPr>
              <w:keepNext/>
              <w:spacing w:after="0" w:line="252" w:lineRule="auto"/>
            </w:pPr>
            <w:r/>
            <w:r>
              <w:rPr>
                <w:rFonts w:ascii="Arial" w:hAnsi="Arial"/>
                <w:b w:val="0"/>
                <w:color w:val="262626"/>
                <w:sz w:val="18"/>
              </w:rPr>
              <w:t>-4.0</w:t>
            </w:r>
          </w:p>
        </w:tc>
        <w:tc>
          <w:tcPr>
            <w:tcW w:type="dxa" w:w="1814"/>
          </w:tcPr>
          <w:p>
            <w:pPr>
              <w:keepNext/>
              <w:spacing w:after="0" w:line="252" w:lineRule="auto"/>
            </w:pPr>
            <w:r/>
            <w:r>
              <w:rPr>
                <w:rFonts w:ascii="Arial" w:hAnsi="Arial"/>
                <w:b w:val="0"/>
                <w:color w:val="262626"/>
                <w:sz w:val="18"/>
              </w:rPr>
              <w:t>-17.5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of England</w:t>
            </w:r>
          </w:p>
        </w:tc>
        <w:tc>
          <w:tcPr>
            <w:tcW w:type="dxa" w:w="1474"/>
          </w:tcPr>
          <w:p>
            <w:pPr>
              <w:keepNext/>
              <w:spacing w:after="0" w:line="252" w:lineRule="auto"/>
            </w:pPr>
            <w:r/>
            <w:r>
              <w:rPr>
                <w:rFonts w:ascii="Arial" w:hAnsi="Arial"/>
                <w:b w:val="0"/>
                <w:color w:val="262626"/>
                <w:sz w:val="18"/>
              </w:rPr>
              <w:t>173.4</w:t>
            </w:r>
          </w:p>
        </w:tc>
        <w:tc>
          <w:tcPr>
            <w:tcW w:type="dxa" w:w="1247"/>
          </w:tcPr>
          <w:p>
            <w:pPr>
              <w:keepNext/>
              <w:spacing w:after="0" w:line="252" w:lineRule="auto"/>
            </w:pPr>
            <w:r/>
            <w:r>
              <w:rPr>
                <w:rFonts w:ascii="Arial" w:hAnsi="Arial"/>
                <w:b w:val="0"/>
                <w:color w:val="262626"/>
                <w:sz w:val="18"/>
              </w:rPr>
              <w:t>89.5</w:t>
            </w:r>
          </w:p>
        </w:tc>
        <w:tc>
          <w:tcPr>
            <w:tcW w:type="dxa" w:w="1361"/>
          </w:tcPr>
          <w:p>
            <w:pPr>
              <w:keepNext/>
              <w:spacing w:after="0" w:line="252" w:lineRule="auto"/>
            </w:pPr>
            <w:r/>
            <w:r>
              <w:rPr>
                <w:rFonts w:ascii="Arial" w:hAnsi="Arial"/>
                <w:b w:val="0"/>
                <w:color w:val="262626"/>
                <w:sz w:val="18"/>
              </w:rPr>
              <w:t>-10.5</w:t>
            </w:r>
          </w:p>
        </w:tc>
        <w:tc>
          <w:tcPr>
            <w:tcW w:type="dxa" w:w="1814"/>
          </w:tcPr>
          <w:p>
            <w:pPr>
              <w:keepNext/>
              <w:spacing w:after="0" w:line="252" w:lineRule="auto"/>
            </w:pPr>
            <w:r/>
            <w:r>
              <w:rPr>
                <w:rFonts w:ascii="Arial" w:hAnsi="Arial"/>
                <w:b w:val="0"/>
                <w:color w:val="262626"/>
                <w:sz w:val="18"/>
              </w:rPr>
              <w:t>-25.4</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South East</w:t>
            </w:r>
          </w:p>
        </w:tc>
        <w:tc>
          <w:tcPr>
            <w:tcW w:type="dxa" w:w="1474"/>
          </w:tcPr>
          <w:p>
            <w:pPr>
              <w:keepNext/>
              <w:spacing w:after="0" w:line="252" w:lineRule="auto"/>
            </w:pPr>
            <w:r/>
            <w:r>
              <w:rPr>
                <w:rFonts w:ascii="Arial" w:hAnsi="Arial"/>
                <w:b w:val="0"/>
                <w:color w:val="262626"/>
                <w:sz w:val="18"/>
              </w:rPr>
              <w:t>279.3</w:t>
            </w:r>
          </w:p>
        </w:tc>
        <w:tc>
          <w:tcPr>
            <w:tcW w:type="dxa" w:w="1247"/>
          </w:tcPr>
          <w:p>
            <w:pPr>
              <w:keepNext/>
              <w:spacing w:after="0" w:line="252" w:lineRule="auto"/>
            </w:pPr>
            <w:r/>
            <w:r>
              <w:rPr>
                <w:rFonts w:ascii="Arial" w:hAnsi="Arial"/>
                <w:b w:val="0"/>
                <w:color w:val="262626"/>
                <w:sz w:val="18"/>
              </w:rPr>
              <w:t>88.9</w:t>
            </w:r>
          </w:p>
        </w:tc>
        <w:tc>
          <w:tcPr>
            <w:tcW w:type="dxa" w:w="1361"/>
          </w:tcPr>
          <w:p>
            <w:pPr>
              <w:keepNext/>
              <w:spacing w:after="0" w:line="252" w:lineRule="auto"/>
            </w:pPr>
            <w:r/>
            <w:r>
              <w:rPr>
                <w:rFonts w:ascii="Arial" w:hAnsi="Arial"/>
                <w:b w:val="0"/>
                <w:color w:val="262626"/>
                <w:sz w:val="18"/>
              </w:rPr>
              <w:t>-11.1</w:t>
            </w:r>
          </w:p>
        </w:tc>
        <w:tc>
          <w:tcPr>
            <w:tcW w:type="dxa" w:w="1814"/>
          </w:tcPr>
          <w:p>
            <w:pPr>
              <w:keepNext/>
              <w:spacing w:after="0" w:line="252" w:lineRule="auto"/>
            </w:pPr>
            <w:r/>
            <w:r>
              <w:rPr>
                <w:rFonts w:ascii="Arial" w:hAnsi="Arial"/>
                <w:b w:val="0"/>
                <w:color w:val="262626"/>
                <w:sz w:val="18"/>
              </w:rPr>
              <w:t>-20.8</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Scotland</w:t>
            </w:r>
          </w:p>
        </w:tc>
        <w:tc>
          <w:tcPr>
            <w:tcW w:type="dxa" w:w="1474"/>
          </w:tcPr>
          <w:p>
            <w:pPr>
              <w:keepNext/>
              <w:spacing w:after="0" w:line="252" w:lineRule="auto"/>
            </w:pPr>
            <w:r/>
            <w:r>
              <w:rPr>
                <w:rFonts w:ascii="Arial" w:hAnsi="Arial"/>
                <w:b w:val="0"/>
                <w:color w:val="262626"/>
                <w:sz w:val="18"/>
              </w:rPr>
              <w:t>89.4</w:t>
            </w:r>
          </w:p>
        </w:tc>
        <w:tc>
          <w:tcPr>
            <w:tcW w:type="dxa" w:w="1247"/>
          </w:tcPr>
          <w:p>
            <w:pPr>
              <w:keepNext/>
              <w:spacing w:after="0" w:line="252" w:lineRule="auto"/>
            </w:pPr>
            <w:r/>
            <w:r>
              <w:rPr>
                <w:rFonts w:ascii="Arial" w:hAnsi="Arial"/>
                <w:b w:val="0"/>
                <w:color w:val="262626"/>
                <w:sz w:val="18"/>
              </w:rPr>
              <w:t>87.7</w:t>
            </w:r>
          </w:p>
        </w:tc>
        <w:tc>
          <w:tcPr>
            <w:tcW w:type="dxa" w:w="1361"/>
          </w:tcPr>
          <w:p>
            <w:pPr>
              <w:keepNext/>
              <w:spacing w:after="0" w:line="252" w:lineRule="auto"/>
            </w:pPr>
            <w:r/>
            <w:r>
              <w:rPr>
                <w:rFonts w:ascii="Arial" w:hAnsi="Arial"/>
                <w:b w:val="0"/>
                <w:color w:val="262626"/>
                <w:sz w:val="18"/>
              </w:rPr>
              <w:t>-12.3</w:t>
            </w:r>
          </w:p>
        </w:tc>
        <w:tc>
          <w:tcPr>
            <w:tcW w:type="dxa" w:w="1814"/>
          </w:tcPr>
          <w:p>
            <w:pPr>
              <w:keepNext/>
              <w:spacing w:after="0" w:line="252" w:lineRule="auto"/>
            </w:pPr>
            <w:r/>
            <w:r>
              <w:rPr>
                <w:rFonts w:ascii="Arial" w:hAnsi="Arial"/>
                <w:b w:val="0"/>
                <w:color w:val="262626"/>
                <w:sz w:val="18"/>
              </w:rPr>
              <w:t>-25.0</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spacing w:after="0" w:line="252" w:lineRule="auto"/>
            </w:pPr>
            <w:r/>
            <w:r>
              <w:rPr>
                <w:rFonts w:ascii="Arial" w:hAnsi="Arial"/>
                <w:b w:val="0"/>
                <w:color w:val="262626"/>
                <w:sz w:val="18"/>
              </w:rPr>
              <w:t>West Midlands</w:t>
            </w:r>
          </w:p>
        </w:tc>
        <w:tc>
          <w:tcPr>
            <w:tcW w:type="dxa" w:w="1474"/>
          </w:tcPr>
          <w:p>
            <w:pPr>
              <w:spacing w:after="0" w:line="252" w:lineRule="auto"/>
            </w:pPr>
            <w:r/>
            <w:r>
              <w:rPr>
                <w:rFonts w:ascii="Arial" w:hAnsi="Arial"/>
                <w:b w:val="0"/>
                <w:color w:val="262626"/>
                <w:sz w:val="18"/>
              </w:rPr>
              <w:t>85.1</w:t>
            </w:r>
          </w:p>
        </w:tc>
        <w:tc>
          <w:tcPr>
            <w:tcW w:type="dxa" w:w="1247"/>
          </w:tcPr>
          <w:p>
            <w:pPr>
              <w:spacing w:after="0" w:line="252" w:lineRule="auto"/>
            </w:pPr>
            <w:r/>
            <w:r>
              <w:rPr>
                <w:rFonts w:ascii="Arial" w:hAnsi="Arial"/>
                <w:b w:val="0"/>
                <w:color w:val="262626"/>
                <w:sz w:val="18"/>
              </w:rPr>
              <w:t>84.3</w:t>
            </w:r>
          </w:p>
        </w:tc>
        <w:tc>
          <w:tcPr>
            <w:tcW w:type="dxa" w:w="1361"/>
          </w:tcPr>
          <w:p>
            <w:pPr>
              <w:spacing w:after="0" w:line="252" w:lineRule="auto"/>
            </w:pPr>
            <w:r/>
            <w:r>
              <w:rPr>
                <w:rFonts w:ascii="Arial" w:hAnsi="Arial"/>
                <w:b w:val="0"/>
                <w:color w:val="262626"/>
                <w:sz w:val="18"/>
              </w:rPr>
              <w:t>-15.7</w:t>
            </w:r>
          </w:p>
        </w:tc>
        <w:tc>
          <w:tcPr>
            <w:tcW w:type="dxa" w:w="1814"/>
          </w:tcPr>
          <w:p>
            <w:pPr>
              <w:spacing w:after="0" w:line="252" w:lineRule="auto"/>
            </w:pPr>
            <w:r/>
            <w:r>
              <w:rPr>
                <w:rFonts w:ascii="Arial" w:hAnsi="Arial"/>
                <w:b w:val="0"/>
                <w:color w:val="262626"/>
                <w:sz w:val="18"/>
              </w:rPr>
              <w:t>-32.3</w:t>
            </w:r>
          </w:p>
        </w:tc>
        <w:tc>
          <w:tcPr>
            <w:tcW w:type="dxa" w:w="1587"/>
          </w:tcPr>
          <w:p>
            <w:pPr>
              <w:spacing w:after="0" w:line="252" w:lineRule="auto"/>
            </w:pPr>
            <w:r/>
            <w:r>
              <w:rPr>
                <w:rFonts w:ascii="Arial" w:hAnsi="Arial"/>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Arial" w:hAnsi="Arial"/>
          <w:b/>
          <w:i/>
          <w:color w:val="595959"/>
          <w:sz w:val="19"/>
        </w:rPr>
        <w:t xml:space="preserve">Figure 5. </w:t>
      </w:r>
      <w:r>
        <w:rPr>
          <w:rFonts w:ascii="Arial" w:hAnsi="Arial"/>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additional journeys relative to 2019,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6. </w:t>
      </w:r>
      <w:r>
        <w:rPr>
          <w:rFonts w:ascii="Arial" w:hAnsi="Arial"/>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Arial" w:hAnsi="Arial"/>
          <w:b/>
          <w:i/>
          <w:color w:val="595959"/>
          <w:sz w:val="19"/>
        </w:rPr>
        <w:t xml:space="preserve">Figure 7. </w:t>
      </w:r>
      <w:r>
        <w:rPr>
          <w:rFonts w:ascii="Arial" w:hAnsi="Arial"/>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(Magrico et al., 2023), season tickets fell from 34% to 13% of journeys (ORR, 2025a), and access to hybrid work is highest in London and professional occupations (ONS, 2025).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 targeted at the weaker-recovery cluster.</w:t>
      </w:r>
    </w:p>
    <w:p>
      <w:pPr>
        <w:keepNext/>
        <w:spacing w:before="120" w:after="80"/>
        <w:jc w:val="left"/>
      </w:pPr>
      <w:r>
        <w:rPr>
          <w:rFonts w:ascii="Arial" w:hAnsi="Arial"/>
          <w:b/>
          <w:i/>
          <w:color w:val="595959"/>
          <w:sz w:val="19"/>
        </w:rPr>
        <w:t xml:space="preserve">Table 3. </w:t>
      </w:r>
      <w:r>
        <w:rPr>
          <w:rFonts w:ascii="Arial" w:hAnsi="Arial"/>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Arial" w:hAnsi="Arial"/>
                <w:b/>
                <w:color w:val="1F3864"/>
                <w:sz w:val="18"/>
              </w:rPr>
              <w:t>Characteristic</w:t>
            </w:r>
          </w:p>
        </w:tc>
        <w:tc>
          <w:tcPr>
            <w:tcW w:type="dxa" w:w="1247"/>
            <w:shd w:val="clear" w:fill="EDF1F8"/>
          </w:tcPr>
          <w:p>
            <w:pPr>
              <w:keepNext/>
              <w:spacing w:after="0" w:line="252" w:lineRule="auto"/>
            </w:pPr>
            <w:r/>
            <w:r>
              <w:rPr>
                <w:rFonts w:ascii="Arial" w:hAnsi="Arial"/>
                <w:b/>
                <w:color w:val="1F3864"/>
                <w:sz w:val="18"/>
              </w:rPr>
              <w:t>Pearson r</w:t>
            </w:r>
          </w:p>
        </w:tc>
        <w:tc>
          <w:tcPr>
            <w:tcW w:type="dxa" w:w="1020"/>
            <w:shd w:val="clear" w:fill="EDF1F8"/>
          </w:tcPr>
          <w:p>
            <w:pPr>
              <w:keepNext/>
              <w:spacing w:after="0" w:line="252" w:lineRule="auto"/>
            </w:pPr>
            <w:r/>
            <w:r>
              <w:rPr>
                <w:rFonts w:ascii="Arial" w:hAnsi="Arial"/>
                <w:b/>
                <w:color w:val="1F3864"/>
                <w:sz w:val="18"/>
              </w:rPr>
              <w:t>p</w:t>
            </w:r>
          </w:p>
        </w:tc>
        <w:tc>
          <w:tcPr>
            <w:tcW w:type="dxa" w:w="1474"/>
            <w:shd w:val="clear" w:fill="EDF1F8"/>
          </w:tcPr>
          <w:p>
            <w:pPr>
              <w:keepNext/>
              <w:spacing w:after="0" w:line="252" w:lineRule="auto"/>
            </w:pPr>
            <w:r/>
            <w:r>
              <w:rPr>
                <w:rFonts w:ascii="Arial" w:hAnsi="Arial"/>
                <w:b/>
                <w:color w:val="1F3864"/>
                <w:sz w:val="18"/>
              </w:rPr>
              <w:t>Spearman rho</w:t>
            </w:r>
          </w:p>
        </w:tc>
        <w:tc>
          <w:tcPr>
            <w:tcW w:type="dxa" w:w="1020"/>
            <w:shd w:val="clear" w:fill="EDF1F8"/>
          </w:tcPr>
          <w:p>
            <w:pPr>
              <w:keepNext/>
              <w:spacing w:after="0" w:line="252" w:lineRule="auto"/>
            </w:pPr>
            <w:r/>
            <w:r>
              <w:rPr>
                <w:rFonts w:ascii="Arial" w:hAnsi="Arial"/>
                <w:b/>
                <w:color w:val="1F3864"/>
                <w:sz w:val="18"/>
              </w:rPr>
              <w:t>p</w:t>
            </w:r>
          </w:p>
        </w:tc>
      </w:tr>
      <w:tr>
        <w:trPr>
          <w:cantSplit/>
        </w:trPr>
        <w:tc>
          <w:tcPr>
            <w:tcW w:type="dxa" w:w="4082"/>
          </w:tcPr>
          <w:p>
            <w:pPr>
              <w:keepNext/>
              <w:spacing w:after="0" w:line="252" w:lineRule="auto"/>
            </w:pPr>
            <w:r/>
            <w:r>
              <w:rPr>
                <w:rFonts w:ascii="Arial" w:hAnsi="Arial"/>
                <w:b w:val="0"/>
                <w:color w:val="262626"/>
                <w:sz w:val="18"/>
              </w:rPr>
              <w:t>Pre-pandemic growth (CAGR 2010-2019, %)</w:t>
            </w:r>
          </w:p>
        </w:tc>
        <w:tc>
          <w:tcPr>
            <w:tcW w:type="dxa" w:w="1247"/>
          </w:tcPr>
          <w:p>
            <w:pPr>
              <w:keepNext/>
              <w:spacing w:after="0" w:line="252" w:lineRule="auto"/>
            </w:pPr>
            <w:r/>
            <w:r>
              <w:rPr>
                <w:rFonts w:ascii="Arial" w:hAnsi="Arial"/>
                <w:b w:val="0"/>
                <w:color w:val="262626"/>
                <w:sz w:val="18"/>
              </w:rPr>
              <w:t>-0.29</w:t>
            </w:r>
          </w:p>
        </w:tc>
        <w:tc>
          <w:tcPr>
            <w:tcW w:type="dxa" w:w="1020"/>
          </w:tcPr>
          <w:p>
            <w:pPr>
              <w:keepNext/>
              <w:spacing w:after="0" w:line="252" w:lineRule="auto"/>
            </w:pPr>
            <w:r/>
            <w:r>
              <w:rPr>
                <w:rFonts w:ascii="Arial" w:hAnsi="Arial"/>
                <w:b w:val="0"/>
                <w:color w:val="262626"/>
                <w:sz w:val="18"/>
              </w:rPr>
              <w:t>0.380</w:t>
            </w:r>
          </w:p>
        </w:tc>
        <w:tc>
          <w:tcPr>
            <w:tcW w:type="dxa" w:w="1474"/>
          </w:tcPr>
          <w:p>
            <w:pPr>
              <w:keepNext/>
              <w:spacing w:after="0" w:line="252" w:lineRule="auto"/>
            </w:pPr>
            <w:r/>
            <w:r>
              <w:rPr>
                <w:rFonts w:ascii="Arial" w:hAnsi="Arial"/>
                <w:b w:val="0"/>
                <w:color w:val="262626"/>
                <w:sz w:val="18"/>
              </w:rPr>
              <w:t>-0.15</w:t>
            </w:r>
          </w:p>
        </w:tc>
        <w:tc>
          <w:tcPr>
            <w:tcW w:type="dxa" w:w="1020"/>
          </w:tcPr>
          <w:p>
            <w:pPr>
              <w:keepNext/>
              <w:spacing w:after="0" w:line="252" w:lineRule="auto"/>
            </w:pPr>
            <w:r/>
            <w:r>
              <w:rPr>
                <w:rFonts w:ascii="Arial" w:hAnsi="Arial"/>
                <w:b w:val="0"/>
                <w:color w:val="262626"/>
                <w:sz w:val="18"/>
              </w:rPr>
              <w:t>0.650</w:t>
            </w:r>
          </w:p>
        </w:tc>
      </w:tr>
      <w:tr>
        <w:trPr>
          <w:cantSplit/>
        </w:trPr>
        <w:tc>
          <w:tcPr>
            <w:tcW w:type="dxa" w:w="4082"/>
          </w:tcPr>
          <w:p>
            <w:pPr>
              <w:keepNext/>
              <w:spacing w:after="0" w:line="252" w:lineRule="auto"/>
            </w:pPr>
            <w:r/>
            <w:r>
              <w:rPr>
                <w:rFonts w:ascii="Arial" w:hAnsi="Arial"/>
                <w:b w:val="0"/>
                <w:color w:val="262626"/>
                <w:sz w:val="18"/>
              </w:rPr>
              <w:t>Market size (log10 journeys, 2019)</w:t>
            </w:r>
          </w:p>
        </w:tc>
        <w:tc>
          <w:tcPr>
            <w:tcW w:type="dxa" w:w="1247"/>
          </w:tcPr>
          <w:p>
            <w:pPr>
              <w:keepNext/>
              <w:spacing w:after="0" w:line="252" w:lineRule="auto"/>
            </w:pPr>
            <w:r/>
            <w:r>
              <w:rPr>
                <w:rFonts w:ascii="Arial" w:hAnsi="Arial"/>
                <w:b w:val="0"/>
                <w:color w:val="262626"/>
                <w:sz w:val="18"/>
              </w:rPr>
              <w:t>-0.38</w:t>
            </w:r>
          </w:p>
        </w:tc>
        <w:tc>
          <w:tcPr>
            <w:tcW w:type="dxa" w:w="1020"/>
          </w:tcPr>
          <w:p>
            <w:pPr>
              <w:keepNext/>
              <w:spacing w:after="0" w:line="252" w:lineRule="auto"/>
            </w:pPr>
            <w:r/>
            <w:r>
              <w:rPr>
                <w:rFonts w:ascii="Arial" w:hAnsi="Arial"/>
                <w:b w:val="0"/>
                <w:color w:val="262626"/>
                <w:sz w:val="18"/>
              </w:rPr>
              <w:t>0.249</w:t>
            </w:r>
          </w:p>
        </w:tc>
        <w:tc>
          <w:tcPr>
            <w:tcW w:type="dxa" w:w="1474"/>
          </w:tcPr>
          <w:p>
            <w:pPr>
              <w:keepNext/>
              <w:spacing w:after="0" w:line="252" w:lineRule="auto"/>
            </w:pPr>
            <w:r/>
            <w:r>
              <w:rPr>
                <w:rFonts w:ascii="Arial" w:hAnsi="Arial"/>
                <w:b w:val="0"/>
                <w:color w:val="262626"/>
                <w:sz w:val="18"/>
              </w:rPr>
              <w:t>-0.45</w:t>
            </w:r>
          </w:p>
        </w:tc>
        <w:tc>
          <w:tcPr>
            <w:tcW w:type="dxa" w:w="1020"/>
          </w:tcPr>
          <w:p>
            <w:pPr>
              <w:keepNext/>
              <w:spacing w:after="0" w:line="252" w:lineRule="auto"/>
            </w:pPr>
            <w:r/>
            <w:r>
              <w:rPr>
                <w:rFonts w:ascii="Arial" w:hAnsi="Arial"/>
                <w:b w:val="0"/>
                <w:color w:val="262626"/>
                <w:sz w:val="18"/>
              </w:rPr>
              <w:t>0.170</w:t>
            </w:r>
          </w:p>
        </w:tc>
      </w:tr>
      <w:tr>
        <w:trPr>
          <w:cantSplit/>
        </w:trPr>
        <w:tc>
          <w:tcPr>
            <w:tcW w:type="dxa" w:w="4082"/>
          </w:tcPr>
          <w:p>
            <w:pPr>
              <w:spacing w:after="0" w:line="252" w:lineRule="auto"/>
            </w:pPr>
            <w:r/>
            <w:r>
              <w:rPr>
                <w:rFonts w:ascii="Arial" w:hAnsi="Arial"/>
                <w:b w:val="0"/>
                <w:color w:val="262626"/>
                <w:sz w:val="18"/>
              </w:rPr>
              <w:t>Inter-regional journey share, 2019 (%)</w:t>
            </w:r>
          </w:p>
        </w:tc>
        <w:tc>
          <w:tcPr>
            <w:tcW w:type="dxa" w:w="1247"/>
          </w:tcPr>
          <w:p>
            <w:pPr>
              <w:spacing w:after="0" w:line="252" w:lineRule="auto"/>
            </w:pPr>
            <w:r/>
            <w:r>
              <w:rPr>
                <w:rFonts w:ascii="Arial" w:hAnsi="Arial"/>
                <w:b w:val="0"/>
                <w:color w:val="262626"/>
                <w:sz w:val="18"/>
              </w:rPr>
              <w:t>0.22</w:t>
            </w:r>
          </w:p>
        </w:tc>
        <w:tc>
          <w:tcPr>
            <w:tcW w:type="dxa" w:w="1020"/>
          </w:tcPr>
          <w:p>
            <w:pPr>
              <w:spacing w:after="0" w:line="252" w:lineRule="auto"/>
            </w:pPr>
            <w:r/>
            <w:r>
              <w:rPr>
                <w:rFonts w:ascii="Arial" w:hAnsi="Arial"/>
                <w:b w:val="0"/>
                <w:color w:val="262626"/>
                <w:sz w:val="18"/>
              </w:rPr>
              <w:t>0.525</w:t>
            </w:r>
          </w:p>
        </w:tc>
        <w:tc>
          <w:tcPr>
            <w:tcW w:type="dxa" w:w="1474"/>
          </w:tcPr>
          <w:p>
            <w:pPr>
              <w:spacing w:after="0" w:line="252" w:lineRule="auto"/>
            </w:pPr>
            <w:r/>
            <w:r>
              <w:rPr>
                <w:rFonts w:ascii="Arial" w:hAnsi="Arial"/>
                <w:b w:val="0"/>
                <w:color w:val="262626"/>
                <w:sz w:val="18"/>
              </w:rPr>
              <w:t>0.28</w:t>
            </w:r>
          </w:p>
        </w:tc>
        <w:tc>
          <w:tcPr>
            <w:tcW w:type="dxa" w:w="1020"/>
          </w:tcPr>
          <w:p>
            <w:pPr>
              <w:spacing w:after="0" w:line="252" w:lineRule="auto"/>
            </w:pPr>
            <w:r/>
            <w:r>
              <w:rPr>
                <w:rFonts w:ascii="Arial" w:hAnsi="Arial"/>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at https://github.com/Qjins/IJC437-UK-Rail-Recovery. The repository preserves the raw ORR tables, cleaned datasets, the three numbered analysis scripts, all figures and this report, in numbered folders. The README states the research questions exactly as in Section 1.2, summarises the key findings, lists required R packages and gives step-by-step instructions for reproducing every result from the raw data. The code uses meaningful variable names and comments explaining intent rather than mechanics; full listings are in Appendix A. A companion repository for the IJC445 Data Visualisation module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driven by within-region and leisure travel rather than commuting,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in this report reproducible from the raw files. A second lesson is that a single metric can mislead: level recovery, trend recovery and within-region distributions tell materially different stories; reporting them together is what makes the analysis useful.</w:t>
      </w:r>
    </w:p>
    <w:p>
      <w:pPr>
        <w:pStyle w:val="Heading2"/>
      </w:pPr>
      <w:r>
        <w:t>5.2 Engagement</w:t>
      </w:r>
    </w:p>
    <w:p>
      <w:pPr>
        <w:jc w:val="both"/>
      </w:pPr>
      <w:r>
        <w:rPr>
          <w:b w:val="0"/>
          <w:i w:val="0"/>
        </w:rPr>
        <w:t>Three engagement activities shaped this project directly. First, the Week 8 lecture on scoping data science projects examined why data-driven projects fail, citing poor scoping and data quality among the leading causes, and stressed that work others cannot reproduce is work they cannot trust. That framing changed how I treated the silent data-loss defect in my own pipeline: I documented it in the methodology as evidence that validation belongs in the workflow. Second, the Week 10 guest lecture by Paul Clough, principal data science and AI consultant at TPXimpact, argued that analytics creates value only when it moves from data to insight to action, displacing the decision-maker's “golden gut” with evidence they can use; this shaped the choice of an interpretable index (a planner reads a gap of -10 directly as 10% below pre-pandemic demand) and the honest reporting of null correlation results. His advice to master Git and GitHub reinforced the repository's role as a portfolio. Finally, that session's debate about automating people's jobs sharpened the social dimension: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Magrico,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eastAsia="Georgia"/>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