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2,998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mainly because of homeworking (Magrico et al., 2023), and hybrid working remains concentrated in London and professional occupations (Office for National Statistics [ONS],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decisions based on national averages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within-region variation at station level,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after cleaning, all 11 regions have complete series for all 30 years. The defect and its correction illustrate why automated validation checks are essential when ingesting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almost instantly: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clearly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additional journeys relative to 2019,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(Magrico et al., 2023), season tickets fell from 34% to 13% of journeys (ORR, 2025a), and access to hybrid work is highest in London and professional occupations (ONS, 2025).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 targeted at the weaker-recovery cluster.</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at https://github.com/Qjins/IJC437-UK-Rail-Recovery. The repository preserves the raw ORR tables, cleaned datasets, the three numbered analysis scripts, all figures and this report, in numbered folders. The README states the research questions exactly as in Section 1.2, summarises the key findings, lists required R packages and gives step-by-step instructions for reproducing every result from the raw data. The code uses meaningful variable names and comments explaining intent rather than mechanics; full listings are in Appendix A. A companion repository for the IJC445 Data Visualisation module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driven by within-region and leisure travel rather than commuting,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in this report reproducible from the raw files. A second lesson is that a single metric can mislead: level recovery, trend recovery and within-region distributions tell materially different stories; reporting them together is what makes the analysis useful.</w:t>
      </w:r>
    </w:p>
    <w:p>
      <w:pPr>
        <w:pStyle w:val="Heading2"/>
      </w:pPr>
      <w:r>
        <w:t>5.2 Engagement</w:t>
      </w:r>
    </w:p>
    <w:p>
      <w:pPr>
        <w:jc w:val="both"/>
      </w:pPr>
      <w:r>
        <w:rPr>
          <w:b w:val="0"/>
          <w:i w:val="0"/>
        </w:rPr>
        <w:t>Three engagement activities shaped this project directly. First, the mid-semester Industry Day and the Week 8 lecture on scoping data science projects examined why data-driven projects fail, citing poor scoping and data quality,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role as a portfolio.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Magrico,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