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2,997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mainly because of homeworking (Magrico et al., 2023), and hybrid working remains concentrated in London and professional occupations (Office for National Statistics [ONS],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when ingesting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(Magrico et al., 2023), season tickets fell from 34% to 13% of journeys (ORR, 2025a), and access to hybrid work is highest in London and professional occupations (ONS, 2025).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at https://github.com/Qjins/IJC437-UK-Rail-Recovery. The repository preserves the raw ORR tables, cleaned datasets, the three numbered analysis scripts, all figures and this report, in numbered folders. The README states the research questions exactly as in Section 1.2, summarises the key findings, lists required R packages and gives step-by-step instructions for reproducing every result from the raw data. The code uses meaningful variable names and comments explaining intent rather than mechanics;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during the module directly shaped this project. First, the Week 8 session on scoping data science projects, held alongside Industry Week, examined why data-driven projects fail and placed data quality and reproducibility among the leading causes. That framing changed how I treated the silent data-loss defect in my own pipeline: I documented it in the methodology as evidence that validation belongs in the workflow. Second, the Week 10 guest lecture by Paul Clough, a principal data science and AI consultant, on how organisations become data-driven, emphasised that analysis only creates value when a decision-maker can act on it; this influenced the choice of an interpretable index (a planner can read a gap of -10 directly as 10% below pre-pandemic demand) and the decision to report honest null correlation results instead of overclaiming. Third, employability and alumni sessions stressed that a public, well-documented GitHub repository is itself a professional artefact, which motivated its structure and README. Collectively these sessions also sharpened the social dimension of the analysis: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Magrico,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