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rPr>
      </w:pPr>
      <w:r>
        <w:rPr>
          <w:rFonts w:hint="eastAsia" w:ascii="宋体" w:hAnsi="宋体" w:eastAsia="宋体" w:cs="宋体"/>
          <w:b/>
          <w:bCs/>
          <w:sz w:val="32"/>
          <w:szCs w:val="32"/>
        </w:rPr>
        <w:t>基金从业</w:t>
      </w:r>
      <w:r>
        <w:rPr>
          <w:rFonts w:hint="eastAsia" w:ascii="宋体" w:hAnsi="宋体" w:eastAsia="宋体" w:cs="宋体"/>
          <w:b/>
          <w:bCs/>
          <w:sz w:val="32"/>
          <w:szCs w:val="32"/>
        </w:rPr>
        <w:t>-</w:t>
      </w:r>
      <w:r>
        <w:rPr>
          <w:rFonts w:hint="eastAsia" w:ascii="宋体" w:hAnsi="宋体" w:eastAsia="宋体" w:cs="宋体"/>
          <w:b/>
          <w:bCs/>
          <w:sz w:val="32"/>
          <w:szCs w:val="32"/>
          <w:lang w:eastAsia="zh-CN"/>
        </w:rPr>
        <w:t>基金法规</w:t>
      </w:r>
      <w:r>
        <w:rPr>
          <w:rFonts w:hint="eastAsia" w:ascii="宋体" w:hAnsi="宋体" w:eastAsia="宋体" w:cs="宋体"/>
          <w:b/>
          <w:bCs/>
          <w:sz w:val="32"/>
          <w:szCs w:val="32"/>
        </w:rPr>
        <w:t>-考点100</w:t>
      </w:r>
    </w:p>
    <w:p>
      <w:pPr>
        <w:jc w:val="center"/>
        <w:rPr>
          <w:rFonts w:hint="eastAsia" w:ascii="宋体" w:hAnsi="宋体" w:eastAsia="宋体" w:cs="宋体"/>
        </w:rPr>
      </w:pPr>
      <w:r>
        <w:rPr>
          <w:rFonts w:hint="eastAsia" w:ascii="宋体" w:hAnsi="宋体" w:eastAsia="宋体" w:cs="宋体"/>
          <w:b/>
          <w:bCs/>
          <w:sz w:val="24"/>
          <w:szCs w:val="24"/>
        </w:rPr>
        <w:t>第一章 金融市场、资产管理与投资基金</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考点一</w:t>
      </w:r>
      <w:r>
        <w:rPr>
          <w:rFonts w:hint="eastAsia" w:ascii="宋体" w:hAnsi="宋体" w:eastAsia="宋体" w:cs="宋体"/>
        </w:rPr>
        <w:t xml:space="preserve"> </w:t>
      </w:r>
      <w:r>
        <w:rPr>
          <w:rFonts w:hint="eastAsia" w:ascii="宋体" w:hAnsi="宋体" w:eastAsia="宋体" w:cs="宋体"/>
          <w:lang w:eastAsia="zh-CN"/>
        </w:rPr>
        <w:t>金融与居民理财的关系</w:t>
      </w:r>
    </w:p>
    <w:p>
      <w:pPr>
        <w:rPr>
          <w:rFonts w:hint="eastAsia" w:ascii="宋体" w:hAnsi="宋体" w:eastAsia="宋体" w:cs="宋体"/>
          <w:lang w:eastAsia="zh-CN"/>
        </w:rPr>
      </w:pPr>
      <w:r>
        <w:rPr>
          <w:rFonts w:hint="eastAsia" w:ascii="宋体" w:hAnsi="宋体" w:eastAsia="宋体" w:cs="宋体"/>
          <w:lang w:eastAsia="zh-CN"/>
        </w:rPr>
        <w:t>（一）金融</w:t>
      </w:r>
    </w:p>
    <w:p>
      <w:pPr>
        <w:rPr>
          <w:rFonts w:hint="eastAsia" w:ascii="宋体" w:hAnsi="宋体" w:eastAsia="宋体" w:cs="宋体"/>
          <w:lang w:eastAsia="zh-CN"/>
        </w:rPr>
      </w:pPr>
      <w:r>
        <w:rPr>
          <w:rFonts w:hint="eastAsia" w:ascii="宋体" w:hAnsi="宋体" w:eastAsia="宋体" w:cs="宋体"/>
          <w:lang w:eastAsia="zh-CN"/>
        </w:rPr>
        <w:t>所谓金融，简单来讲即货币资金的融通。货币资金来源于居民（包括个人和企业）从事的生产活动。</w:t>
      </w:r>
    </w:p>
    <w:p>
      <w:pPr>
        <w:rPr>
          <w:rFonts w:hint="eastAsia" w:ascii="宋体" w:hAnsi="宋体" w:eastAsia="宋体" w:cs="宋体"/>
          <w:lang w:eastAsia="zh-CN"/>
        </w:rPr>
      </w:pPr>
      <w:r>
        <w:rPr>
          <w:rFonts w:hint="eastAsia" w:ascii="宋体" w:hAnsi="宋体" w:eastAsia="宋体" w:cs="宋体"/>
          <w:lang w:eastAsia="zh-CN"/>
        </w:rPr>
        <w:t>（二）居民理财的主要方式</w:t>
      </w:r>
    </w:p>
    <w:p>
      <w:pPr>
        <w:rPr>
          <w:rFonts w:hint="eastAsia" w:ascii="宋体" w:hAnsi="宋体" w:eastAsia="宋体" w:cs="宋体"/>
          <w:lang w:eastAsia="zh-CN"/>
        </w:rPr>
      </w:pPr>
      <w:r>
        <w:rPr>
          <w:rFonts w:hint="eastAsia" w:ascii="宋体" w:hAnsi="宋体" w:eastAsia="宋体" w:cs="宋体"/>
          <w:lang w:eastAsia="zh-CN"/>
        </w:rPr>
        <w:t xml:space="preserve"> 理财，指的是对财务进行管理，以实现财产的保值、增值。</w:t>
      </w:r>
    </w:p>
    <w:p>
      <w:pPr>
        <w:rPr>
          <w:rFonts w:hint="eastAsia" w:ascii="宋体" w:hAnsi="宋体" w:eastAsia="宋体" w:cs="宋体"/>
          <w:lang w:eastAsia="zh-CN"/>
        </w:rPr>
      </w:pPr>
      <w:r>
        <w:rPr>
          <w:rFonts w:hint="eastAsia" w:ascii="宋体" w:hAnsi="宋体" w:eastAsia="宋体" w:cs="宋体"/>
          <w:lang w:eastAsia="zh-CN"/>
        </w:rPr>
        <w:t xml:space="preserve"> 目前，居民理财主要方式是货币储蓄与投资两类。</w:t>
      </w:r>
    </w:p>
    <w:tbl>
      <w:tblPr>
        <w:tblStyle w:val="5"/>
        <w:tblW w:w="9350" w:type="dxa"/>
        <w:tblCellSpacing w:w="0" w:type="dxa"/>
        <w:tblInd w:w="20" w:type="dxa"/>
        <w:tblLayout w:type="autofit"/>
        <w:tblCellMar>
          <w:top w:w="0" w:type="dxa"/>
          <w:left w:w="0" w:type="dxa"/>
          <w:bottom w:w="0" w:type="dxa"/>
          <w:right w:w="0" w:type="dxa"/>
        </w:tblCellMar>
      </w:tblPr>
      <w:tblGrid>
        <w:gridCol w:w="1331"/>
        <w:gridCol w:w="8019"/>
      </w:tblGrid>
      <w:tr>
        <w:tblPrEx>
          <w:tblCellMar>
            <w:top w:w="0" w:type="dxa"/>
            <w:left w:w="0" w:type="dxa"/>
            <w:bottom w:w="0" w:type="dxa"/>
            <w:right w:w="0" w:type="dxa"/>
          </w:tblCellMar>
        </w:tblPrEx>
        <w:trPr>
          <w:trHeight w:val="406" w:hRule="atLeast"/>
          <w:tblCellSpacing w:w="0" w:type="dxa"/>
        </w:trPr>
        <w:tc>
          <w:tcPr>
            <w:tcW w:w="1331" w:type="dxa"/>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b/>
                <w:bCs/>
                <w:color w:val="000000"/>
                <w:sz w:val="21"/>
                <w:szCs w:val="21"/>
              </w:rPr>
              <w:t>要点</w:t>
            </w:r>
          </w:p>
        </w:tc>
        <w:tc>
          <w:tcPr>
            <w:tcW w:w="8019" w:type="dxa"/>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b/>
                <w:bCs/>
                <w:color w:val="000000"/>
                <w:sz w:val="21"/>
                <w:szCs w:val="21"/>
              </w:rPr>
              <w:t>内容</w:t>
            </w:r>
          </w:p>
        </w:tc>
      </w:tr>
      <w:tr>
        <w:tblPrEx>
          <w:tblCellMar>
            <w:top w:w="0" w:type="dxa"/>
            <w:left w:w="0" w:type="dxa"/>
            <w:bottom w:w="0" w:type="dxa"/>
            <w:right w:w="0" w:type="dxa"/>
          </w:tblCellMar>
        </w:tblPrEx>
        <w:trPr>
          <w:trHeight w:val="389" w:hRule="atLeast"/>
          <w:tblCellSpacing w:w="0" w:type="dxa"/>
        </w:trPr>
        <w:tc>
          <w:tcPr>
            <w:tcW w:w="1331" w:type="dxa"/>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货币储蓄</w:t>
            </w:r>
          </w:p>
        </w:tc>
        <w:tc>
          <w:tcPr>
            <w:tcW w:w="8019" w:type="dxa"/>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长期以来，我国居民的主要理财方式是货币储蓄。</w:t>
            </w:r>
          </w:p>
        </w:tc>
      </w:tr>
      <w:tr>
        <w:tblPrEx>
          <w:tblCellMar>
            <w:top w:w="0" w:type="dxa"/>
            <w:left w:w="0" w:type="dxa"/>
            <w:bottom w:w="0" w:type="dxa"/>
            <w:right w:w="0" w:type="dxa"/>
          </w:tblCellMar>
        </w:tblPrEx>
        <w:trPr>
          <w:trHeight w:val="1360" w:hRule="atLeast"/>
          <w:tblCellSpacing w:w="0" w:type="dxa"/>
        </w:trPr>
        <w:tc>
          <w:tcPr>
            <w:tcW w:w="1331" w:type="dxa"/>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lang w:eastAsia="zh-CN"/>
              </w:rPr>
            </w:pPr>
          </w:p>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投资</w:t>
            </w:r>
          </w:p>
        </w:tc>
        <w:tc>
          <w:tcPr>
            <w:tcW w:w="8019" w:type="dxa"/>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投资是指投资者当期投入一定数额的资金而期望在未来获得回报，所得回报应该能补偿投资资金被占用的时间、预期的通货膨胀率以及未来更多的未来收益，未来收益具有不确定性</w:t>
            </w:r>
          </w:p>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最常见和普遍的投资产品是股票、债券、基金等金融工具</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考点二</w:t>
      </w:r>
      <w:r>
        <w:rPr>
          <w:rFonts w:hint="eastAsia" w:ascii="宋体" w:hAnsi="宋体" w:eastAsia="宋体" w:cs="宋体"/>
        </w:rPr>
        <w:t xml:space="preserve"> 金融市场的分类</w:t>
      </w:r>
    </w:p>
    <w:tbl>
      <w:tblPr>
        <w:tblStyle w:val="5"/>
        <w:tblW w:w="4999" w:type="pct"/>
        <w:tblCellSpacing w:w="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569"/>
        <w:gridCol w:w="7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89" w:hRule="atLeast"/>
          <w:tblCellSpacing w:w="0" w:type="dxa"/>
        </w:trPr>
        <w:tc>
          <w:tcPr>
            <w:tcW w:w="911" w:type="pct"/>
            <w:shd w:val="clear" w:color="auto" w:fill="auto"/>
            <w:noWrap w:val="0"/>
            <w:tcMar>
              <w:top w:w="72" w:type="dxa"/>
              <w:left w:w="144" w:type="dxa"/>
              <w:bottom w:w="72" w:type="dxa"/>
              <w:right w:w="144" w:type="dxa"/>
            </w:tcMar>
            <w:vAlign w:val="center"/>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交易工具的期限</w:t>
            </w:r>
          </w:p>
        </w:tc>
        <w:tc>
          <w:tcPr>
            <w:tcW w:w="4088" w:type="pct"/>
            <w:shd w:val="clear" w:color="auto" w:fill="auto"/>
            <w:noWrap w:val="0"/>
            <w:tcMar>
              <w:top w:w="72" w:type="dxa"/>
              <w:left w:w="144" w:type="dxa"/>
              <w:bottom w:w="72" w:type="dxa"/>
              <w:right w:w="144" w:type="dxa"/>
            </w:tcMar>
            <w:vAlign w:val="center"/>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货币市场（一年以内）、资本市场（一年以上）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8" w:hRule="atLeast"/>
          <w:tblCellSpacing w:w="0" w:type="dxa"/>
        </w:trPr>
        <w:tc>
          <w:tcPr>
            <w:tcW w:w="911" w:type="pct"/>
            <w:shd w:val="clear" w:color="auto" w:fill="auto"/>
            <w:noWrap w:val="0"/>
            <w:tcMar>
              <w:top w:w="72" w:type="dxa"/>
              <w:left w:w="144" w:type="dxa"/>
              <w:bottom w:w="72" w:type="dxa"/>
              <w:right w:w="144" w:type="dxa"/>
            </w:tcMar>
            <w:vAlign w:val="center"/>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交易标的物</w:t>
            </w:r>
          </w:p>
        </w:tc>
        <w:tc>
          <w:tcPr>
            <w:tcW w:w="4088" w:type="pct"/>
            <w:shd w:val="clear" w:color="auto" w:fill="auto"/>
            <w:noWrap w:val="0"/>
            <w:tcMar>
              <w:top w:w="72" w:type="dxa"/>
              <w:left w:w="144" w:type="dxa"/>
              <w:bottom w:w="72" w:type="dxa"/>
              <w:right w:w="144" w:type="dxa"/>
            </w:tcMar>
            <w:vAlign w:val="center"/>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证券市场、衍生工具市场、外汇市场、黄金市场、票据市场（票据承兑市场和贴现市场）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9" w:hRule="atLeast"/>
          <w:tblCellSpacing w:w="0" w:type="dxa"/>
        </w:trPr>
        <w:tc>
          <w:tcPr>
            <w:tcW w:w="911" w:type="pct"/>
            <w:shd w:val="clear" w:color="auto" w:fill="auto"/>
            <w:noWrap w:val="0"/>
            <w:tcMar>
              <w:top w:w="72" w:type="dxa"/>
              <w:left w:w="144" w:type="dxa"/>
              <w:bottom w:w="72" w:type="dxa"/>
              <w:right w:w="144" w:type="dxa"/>
            </w:tcMar>
            <w:vAlign w:val="center"/>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交割期限</w:t>
            </w:r>
          </w:p>
        </w:tc>
        <w:tc>
          <w:tcPr>
            <w:tcW w:w="4088" w:type="pct"/>
            <w:shd w:val="clear" w:color="auto" w:fill="auto"/>
            <w:noWrap w:val="0"/>
            <w:tcMar>
              <w:top w:w="72" w:type="dxa"/>
              <w:left w:w="144" w:type="dxa"/>
              <w:bottom w:w="72" w:type="dxa"/>
              <w:right w:w="144" w:type="dxa"/>
            </w:tcMar>
            <w:vAlign w:val="center"/>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现货市场、期货市场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8" w:hRule="atLeast"/>
          <w:tblCellSpacing w:w="0" w:type="dxa"/>
        </w:trPr>
        <w:tc>
          <w:tcPr>
            <w:tcW w:w="911" w:type="pct"/>
            <w:shd w:val="clear" w:color="auto" w:fill="auto"/>
            <w:noWrap w:val="0"/>
            <w:tcMar>
              <w:top w:w="72" w:type="dxa"/>
              <w:left w:w="144" w:type="dxa"/>
              <w:bottom w:w="72" w:type="dxa"/>
              <w:right w:w="144" w:type="dxa"/>
            </w:tcMar>
            <w:vAlign w:val="center"/>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交易性质</w:t>
            </w:r>
          </w:p>
        </w:tc>
        <w:tc>
          <w:tcPr>
            <w:tcW w:w="4088" w:type="pct"/>
            <w:shd w:val="clear" w:color="auto" w:fill="auto"/>
            <w:noWrap w:val="0"/>
            <w:tcMar>
              <w:top w:w="72" w:type="dxa"/>
              <w:left w:w="144" w:type="dxa"/>
              <w:bottom w:w="72" w:type="dxa"/>
              <w:right w:w="144" w:type="dxa"/>
            </w:tcMar>
            <w:vAlign w:val="center"/>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发行市场、流通市场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1" w:hRule="atLeast"/>
          <w:tblCellSpacing w:w="0" w:type="dxa"/>
        </w:trPr>
        <w:tc>
          <w:tcPr>
            <w:tcW w:w="911" w:type="pct"/>
            <w:shd w:val="clear" w:color="auto" w:fill="auto"/>
            <w:noWrap w:val="0"/>
            <w:tcMar>
              <w:top w:w="72" w:type="dxa"/>
              <w:left w:w="144" w:type="dxa"/>
              <w:bottom w:w="72" w:type="dxa"/>
              <w:right w:w="144" w:type="dxa"/>
            </w:tcMar>
            <w:vAlign w:val="center"/>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地理范围</w:t>
            </w:r>
          </w:p>
        </w:tc>
        <w:tc>
          <w:tcPr>
            <w:tcW w:w="4088" w:type="pct"/>
            <w:shd w:val="clear" w:color="auto" w:fill="auto"/>
            <w:noWrap w:val="0"/>
            <w:tcMar>
              <w:top w:w="72" w:type="dxa"/>
              <w:left w:w="144" w:type="dxa"/>
              <w:bottom w:w="72" w:type="dxa"/>
              <w:right w:w="144" w:type="dxa"/>
            </w:tcMar>
            <w:vAlign w:val="center"/>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国内金融市场、国际金融市场</w:t>
            </w:r>
          </w:p>
        </w:tc>
      </w:tr>
    </w:tbl>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考点三</w:t>
      </w:r>
      <w:r>
        <w:rPr>
          <w:rFonts w:hint="eastAsia" w:ascii="宋体" w:hAnsi="宋体" w:eastAsia="宋体" w:cs="宋体"/>
        </w:rPr>
        <w:t xml:space="preserve"> </w:t>
      </w:r>
      <w:r>
        <w:rPr>
          <w:rFonts w:hint="eastAsia" w:ascii="宋体" w:hAnsi="宋体" w:eastAsia="宋体" w:cs="宋体"/>
          <w:lang w:eastAsia="zh-CN"/>
        </w:rPr>
        <w:t>金融市场的构成要素</w:t>
      </w:r>
    </w:p>
    <w:p>
      <w:pPr>
        <w:rPr>
          <w:rFonts w:hint="eastAsia" w:ascii="宋体" w:hAnsi="宋体" w:eastAsia="宋体" w:cs="宋体"/>
          <w:lang w:eastAsia="zh-CN"/>
        </w:rPr>
      </w:pPr>
      <w:r>
        <w:rPr>
          <w:rFonts w:hint="eastAsia" w:ascii="宋体" w:hAnsi="宋体" w:eastAsia="宋体" w:cs="宋体"/>
          <w:lang w:eastAsia="zh-CN"/>
        </w:rPr>
        <w:t>1.市场参与者</w:t>
      </w:r>
    </w:p>
    <w:p>
      <w:pPr>
        <w:rPr>
          <w:rFonts w:hint="eastAsia" w:ascii="宋体" w:hAnsi="宋体" w:eastAsia="宋体" w:cs="宋体"/>
          <w:lang w:eastAsia="zh-CN"/>
        </w:rPr>
      </w:pPr>
      <w:r>
        <w:rPr>
          <w:rFonts w:hint="eastAsia" w:ascii="宋体" w:hAnsi="宋体" w:eastAsia="宋体" w:cs="宋体"/>
          <w:lang w:eastAsia="zh-CN"/>
        </w:rPr>
        <w:t>金融市场的参与者主要包括政府、中央银行、金融机构、个人和企业居民。</w:t>
      </w:r>
    </w:p>
    <w:p>
      <w:pPr>
        <w:rPr>
          <w:rFonts w:hint="eastAsia" w:ascii="宋体" w:hAnsi="宋体" w:eastAsia="宋体" w:cs="宋体"/>
          <w:lang w:eastAsia="zh-CN"/>
        </w:rPr>
      </w:pPr>
      <w:r>
        <w:rPr>
          <w:rFonts w:hint="eastAsia" w:ascii="宋体" w:hAnsi="宋体" w:eastAsia="宋体" w:cs="宋体"/>
          <w:lang w:eastAsia="zh-CN"/>
        </w:rPr>
        <w:t>2.金融工具</w:t>
      </w:r>
    </w:p>
    <w:p>
      <w:pPr>
        <w:rPr>
          <w:rFonts w:hint="eastAsia" w:ascii="宋体" w:hAnsi="宋体" w:eastAsia="宋体" w:cs="宋体"/>
          <w:lang w:eastAsia="zh-CN"/>
        </w:rPr>
      </w:pPr>
      <w:r>
        <w:rPr>
          <w:rFonts w:hint="eastAsia" w:ascii="宋体" w:hAnsi="宋体" w:eastAsia="宋体" w:cs="宋体"/>
          <w:lang w:eastAsia="zh-CN"/>
        </w:rPr>
        <w:t xml:space="preserve">    金融工具是金融市场上进行交易的载体。</w:t>
      </w:r>
    </w:p>
    <w:p>
      <w:pPr>
        <w:rPr>
          <w:rFonts w:hint="eastAsia" w:ascii="宋体" w:hAnsi="宋体" w:eastAsia="宋体" w:cs="宋体"/>
          <w:lang w:eastAsia="zh-CN"/>
        </w:rPr>
      </w:pPr>
      <w:r>
        <w:rPr>
          <w:rFonts w:hint="eastAsia" w:ascii="宋体" w:hAnsi="宋体" w:eastAsia="宋体" w:cs="宋体"/>
          <w:lang w:eastAsia="zh-CN"/>
        </w:rPr>
        <w:t>3.金融交易的组织方式</w:t>
      </w:r>
    </w:p>
    <w:p>
      <w:pPr>
        <w:rPr>
          <w:rFonts w:hint="eastAsia" w:ascii="宋体" w:hAnsi="宋体" w:eastAsia="宋体" w:cs="宋体"/>
          <w:lang w:eastAsia="zh-CN"/>
        </w:rPr>
      </w:pPr>
      <w:r>
        <w:rPr>
          <w:rFonts w:hint="eastAsia" w:ascii="宋体" w:hAnsi="宋体" w:eastAsia="宋体" w:cs="宋体"/>
          <w:lang w:eastAsia="zh-CN"/>
        </w:rPr>
        <w:t xml:space="preserve">    金融交易的组织方式是指组织金融工具交易时采用的方式。包括：场内交易方式、场外交易方式和电信网络交易方式。</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考点四</w:t>
      </w:r>
      <w:r>
        <w:rPr>
          <w:rFonts w:hint="eastAsia" w:ascii="宋体" w:hAnsi="宋体" w:eastAsia="宋体" w:cs="宋体"/>
        </w:rPr>
        <w:t xml:space="preserve"> </w:t>
      </w:r>
      <w:r>
        <w:rPr>
          <w:rFonts w:hint="eastAsia" w:ascii="宋体" w:hAnsi="宋体" w:eastAsia="宋体" w:cs="宋体"/>
          <w:lang w:eastAsia="zh-CN"/>
        </w:rPr>
        <w:t>资产管理的特征</w:t>
      </w:r>
    </w:p>
    <w:p>
      <w:pPr>
        <w:rPr>
          <w:rFonts w:hint="eastAsia" w:ascii="宋体" w:hAnsi="宋体" w:eastAsia="宋体" w:cs="宋体"/>
          <w:lang w:eastAsia="zh-CN"/>
        </w:rPr>
      </w:pPr>
      <w:r>
        <w:rPr>
          <w:rFonts w:hint="eastAsia" w:ascii="宋体" w:hAnsi="宋体" w:eastAsia="宋体" w:cs="宋体"/>
          <w:lang w:eastAsia="zh-CN"/>
        </w:rPr>
        <w:t>（1）从参与方来看，资产管理包括委托方和受托方，委托方为投资者，受托方为资产管理人。资产管理人根据投资者授权，进行资产投资管理，承担受托人义务。</w:t>
      </w:r>
    </w:p>
    <w:p>
      <w:pPr>
        <w:rPr>
          <w:rFonts w:hint="eastAsia" w:ascii="宋体" w:hAnsi="宋体" w:eastAsia="宋体" w:cs="宋体"/>
          <w:lang w:eastAsia="zh-CN"/>
        </w:rPr>
      </w:pPr>
      <w:r>
        <w:rPr>
          <w:rFonts w:hint="eastAsia" w:ascii="宋体" w:hAnsi="宋体" w:eastAsia="宋体" w:cs="宋体"/>
          <w:lang w:eastAsia="zh-CN"/>
        </w:rPr>
        <w:t>（2）从受托资产来看，主要为货币等金融资产，一般不包括固定资产等实物资产。</w:t>
      </w:r>
    </w:p>
    <w:p>
      <w:pPr>
        <w:rPr>
          <w:rFonts w:hint="eastAsia" w:ascii="宋体" w:hAnsi="宋体" w:eastAsia="宋体" w:cs="宋体"/>
          <w:b/>
          <w:bCs/>
          <w:color w:val="4472C4" w:themeColor="accent1"/>
          <w14:textFill>
            <w14:solidFill>
              <w14:schemeClr w14:val="accent1"/>
            </w14:solidFill>
          </w14:textFill>
        </w:rPr>
      </w:pPr>
      <w:r>
        <w:rPr>
          <w:rFonts w:hint="eastAsia" w:ascii="宋体" w:hAnsi="宋体" w:eastAsia="宋体" w:cs="宋体"/>
          <w:lang w:eastAsia="zh-CN"/>
        </w:rPr>
        <w:t>（3）从管理方式来看，资产管理主要通过投资于银行存款、证券、期货、基金、保险或实体企业股权等资产实现增值。</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考点五</w:t>
      </w:r>
      <w:r>
        <w:rPr>
          <w:rFonts w:hint="eastAsia" w:ascii="宋体" w:hAnsi="宋体" w:eastAsia="宋体" w:cs="宋体"/>
        </w:rPr>
        <w:t xml:space="preserve"> </w:t>
      </w:r>
      <w:r>
        <w:rPr>
          <w:rFonts w:hint="eastAsia" w:ascii="宋体" w:hAnsi="宋体" w:eastAsia="宋体" w:cs="宋体"/>
          <w:lang w:eastAsia="zh-CN"/>
        </w:rPr>
        <w:t>资产管理的本质</w:t>
      </w:r>
    </w:p>
    <w:p>
      <w:pPr>
        <w:rPr>
          <w:rFonts w:hint="eastAsia" w:ascii="宋体" w:hAnsi="宋体" w:eastAsia="宋体" w:cs="宋体"/>
          <w:lang w:eastAsia="zh-CN"/>
        </w:rPr>
      </w:pPr>
      <w:r>
        <w:rPr>
          <w:rFonts w:hint="eastAsia" w:ascii="宋体" w:hAnsi="宋体" w:eastAsia="宋体" w:cs="宋体"/>
          <w:lang w:eastAsia="zh-CN"/>
        </w:rPr>
        <w:t>资产管理简单来说是“受人之托、代人理财”，其本质是基于信任而履行受托职责，实现委托人利益最大化。具体表现在：</w:t>
      </w:r>
    </w:p>
    <w:p>
      <w:pPr>
        <w:rPr>
          <w:rFonts w:hint="eastAsia" w:ascii="宋体" w:hAnsi="宋体" w:eastAsia="宋体" w:cs="宋体"/>
          <w:lang w:eastAsia="zh-CN"/>
        </w:rPr>
      </w:pPr>
      <w:r>
        <w:rPr>
          <w:rFonts w:hint="eastAsia" w:ascii="宋体" w:hAnsi="宋体" w:eastAsia="宋体" w:cs="宋体"/>
          <w:lang w:eastAsia="zh-CN"/>
        </w:rPr>
        <w:t>（1）一切资产管理活动都要求风险与收益相匹配。</w:t>
      </w:r>
    </w:p>
    <w:p>
      <w:pPr>
        <w:rPr>
          <w:rFonts w:hint="eastAsia" w:ascii="宋体" w:hAnsi="宋体" w:eastAsia="宋体" w:cs="宋体"/>
          <w:lang w:eastAsia="zh-CN"/>
        </w:rPr>
      </w:pPr>
      <w:r>
        <w:rPr>
          <w:rFonts w:hint="eastAsia" w:ascii="宋体" w:hAnsi="宋体" w:eastAsia="宋体" w:cs="宋体"/>
          <w:lang w:eastAsia="zh-CN"/>
        </w:rPr>
        <w:t>（2）管理人必须坚持“卖者有责”。</w:t>
      </w:r>
    </w:p>
    <w:p>
      <w:pPr>
        <w:rPr>
          <w:rFonts w:hint="eastAsia" w:ascii="宋体" w:hAnsi="宋体" w:eastAsia="宋体" w:cs="宋体"/>
          <w:lang w:eastAsia="zh-CN"/>
        </w:rPr>
      </w:pPr>
      <w:r>
        <w:rPr>
          <w:rFonts w:hint="eastAsia" w:ascii="宋体" w:hAnsi="宋体" w:eastAsia="宋体" w:cs="宋体"/>
          <w:lang w:eastAsia="zh-CN"/>
        </w:rPr>
        <w:t>（3）投资人必须做到“买者自负”。</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考点六</w:t>
      </w:r>
      <w:r>
        <w:rPr>
          <w:rFonts w:hint="eastAsia" w:ascii="宋体" w:hAnsi="宋体" w:eastAsia="宋体" w:cs="宋体"/>
        </w:rPr>
        <w:t xml:space="preserve"> </w:t>
      </w:r>
      <w:r>
        <w:rPr>
          <w:rFonts w:hint="eastAsia" w:ascii="宋体" w:hAnsi="宋体" w:eastAsia="宋体" w:cs="宋体"/>
          <w:lang w:eastAsia="zh-CN"/>
        </w:rPr>
        <w:t>投资基金的主要类别</w:t>
      </w:r>
    </w:p>
    <w:tbl>
      <w:tblPr>
        <w:tblStyle w:val="5"/>
        <w:tblW w:w="4999" w:type="pct"/>
        <w:tblCellSpacing w:w="0" w:type="dxa"/>
        <w:tblInd w:w="0" w:type="dxa"/>
        <w:tblLayout w:type="autofit"/>
        <w:tblCellMar>
          <w:top w:w="0" w:type="dxa"/>
          <w:left w:w="0" w:type="dxa"/>
          <w:bottom w:w="0" w:type="dxa"/>
          <w:right w:w="0" w:type="dxa"/>
        </w:tblCellMar>
      </w:tblPr>
      <w:tblGrid>
        <w:gridCol w:w="2196"/>
        <w:gridCol w:w="6436"/>
      </w:tblGrid>
      <w:tr>
        <w:tblPrEx>
          <w:tblCellMar>
            <w:top w:w="0" w:type="dxa"/>
            <w:left w:w="0" w:type="dxa"/>
            <w:bottom w:w="0" w:type="dxa"/>
            <w:right w:w="0" w:type="dxa"/>
          </w:tblCellMar>
        </w:tblPrEx>
        <w:trPr>
          <w:trHeight w:val="383" w:hRule="atLeast"/>
          <w:tblCellSpacing w:w="0" w:type="dxa"/>
        </w:trPr>
        <w:tc>
          <w:tcPr>
            <w:tcW w:w="1272"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募集方式</w:t>
            </w:r>
          </w:p>
        </w:tc>
        <w:tc>
          <w:tcPr>
            <w:tcW w:w="3727"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公募基金、私募基金</w:t>
            </w:r>
          </w:p>
        </w:tc>
      </w:tr>
      <w:tr>
        <w:tblPrEx>
          <w:tblCellMar>
            <w:top w:w="0" w:type="dxa"/>
            <w:left w:w="0" w:type="dxa"/>
            <w:bottom w:w="0" w:type="dxa"/>
            <w:right w:w="0" w:type="dxa"/>
          </w:tblCellMar>
        </w:tblPrEx>
        <w:trPr>
          <w:trHeight w:val="302" w:hRule="atLeast"/>
          <w:tblCellSpacing w:w="0" w:type="dxa"/>
        </w:trPr>
        <w:tc>
          <w:tcPr>
            <w:tcW w:w="1272"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法律形式</w:t>
            </w:r>
          </w:p>
        </w:tc>
        <w:tc>
          <w:tcPr>
            <w:tcW w:w="3727"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契约型、公司型、有限合伙型</w:t>
            </w:r>
          </w:p>
        </w:tc>
      </w:tr>
      <w:tr>
        <w:tblPrEx>
          <w:tblCellMar>
            <w:top w:w="0" w:type="dxa"/>
            <w:left w:w="0" w:type="dxa"/>
            <w:bottom w:w="0" w:type="dxa"/>
            <w:right w:w="0" w:type="dxa"/>
          </w:tblCellMar>
        </w:tblPrEx>
        <w:trPr>
          <w:trHeight w:val="383" w:hRule="atLeast"/>
          <w:tblCellSpacing w:w="0" w:type="dxa"/>
        </w:trPr>
        <w:tc>
          <w:tcPr>
            <w:tcW w:w="1272"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运作方式</w:t>
            </w:r>
          </w:p>
        </w:tc>
        <w:tc>
          <w:tcPr>
            <w:tcW w:w="3727"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开放式、封闭式基金</w:t>
            </w:r>
          </w:p>
        </w:tc>
      </w:tr>
      <w:tr>
        <w:tblPrEx>
          <w:tblCellMar>
            <w:top w:w="0" w:type="dxa"/>
            <w:left w:w="0" w:type="dxa"/>
            <w:bottom w:w="0" w:type="dxa"/>
            <w:right w:w="0" w:type="dxa"/>
          </w:tblCellMar>
        </w:tblPrEx>
        <w:trPr>
          <w:trHeight w:val="90" w:hRule="atLeast"/>
          <w:tblCellSpacing w:w="0" w:type="dxa"/>
        </w:trPr>
        <w:tc>
          <w:tcPr>
            <w:tcW w:w="1272"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所投资对象</w:t>
            </w:r>
          </w:p>
        </w:tc>
        <w:tc>
          <w:tcPr>
            <w:tcW w:w="3727"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证券投资基金、另类投资基金</w:t>
            </w:r>
          </w:p>
        </w:tc>
      </w:tr>
    </w:tbl>
    <w:p>
      <w:pPr>
        <w:rPr>
          <w:rFonts w:hint="eastAsia" w:ascii="宋体" w:hAnsi="宋体" w:eastAsia="宋体" w:cs="宋体"/>
          <w:lang w:eastAsia="zh-CN"/>
        </w:rPr>
      </w:pPr>
      <w:r>
        <w:rPr>
          <w:rFonts w:hint="eastAsia" w:ascii="宋体" w:hAnsi="宋体" w:eastAsia="宋体" w:cs="宋体"/>
          <w:lang w:eastAsia="zh-CN"/>
        </w:rPr>
        <w:t>常见的另类投资基金包括：私募股权基金、风险投资基金、对冲基金、不动产投资基金、其他另类投资基金。</w:t>
      </w:r>
    </w:p>
    <w:p>
      <w:pPr>
        <w:jc w:val="center"/>
        <w:rPr>
          <w:rFonts w:hint="eastAsia" w:ascii="宋体" w:hAnsi="宋体" w:eastAsia="宋体" w:cs="宋体"/>
          <w:b/>
          <w:bCs/>
          <w:sz w:val="24"/>
          <w:szCs w:val="24"/>
        </w:rPr>
      </w:pPr>
      <w:r>
        <w:rPr>
          <w:rFonts w:hint="eastAsia" w:ascii="宋体" w:hAnsi="宋体" w:eastAsia="宋体" w:cs="宋体"/>
          <w:b/>
          <w:bCs/>
          <w:sz w:val="24"/>
          <w:szCs w:val="24"/>
        </w:rPr>
        <w:t>第二章 证券投资基金概述</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考点一</w:t>
      </w:r>
      <w:r>
        <w:rPr>
          <w:rFonts w:hint="eastAsia" w:ascii="宋体" w:hAnsi="宋体" w:eastAsia="宋体" w:cs="宋体"/>
        </w:rPr>
        <w:t xml:space="preserve"> 证券投资基金的概念和特点</w:t>
      </w:r>
    </w:p>
    <w:p>
      <w:pPr>
        <w:rPr>
          <w:rFonts w:hint="eastAsia" w:ascii="宋体" w:hAnsi="宋体" w:eastAsia="宋体" w:cs="宋体"/>
          <w:lang w:eastAsia="zh-CN"/>
        </w:rPr>
      </w:pPr>
      <w:r>
        <w:rPr>
          <w:rFonts w:hint="eastAsia" w:ascii="宋体" w:hAnsi="宋体" w:eastAsia="宋体" w:cs="宋体"/>
          <w:lang w:eastAsia="zh-CN"/>
        </w:rPr>
        <w:t>（一）证券投资基金在各地不同的名称</w:t>
      </w:r>
    </w:p>
    <w:p>
      <w:pPr>
        <w:rPr>
          <w:rFonts w:hint="eastAsia" w:ascii="宋体" w:hAnsi="宋体" w:eastAsia="宋体" w:cs="宋体"/>
          <w:lang w:eastAsia="zh-CN"/>
        </w:rPr>
      </w:pPr>
      <w:r>
        <w:rPr>
          <w:rFonts w:hint="eastAsia" w:ascii="宋体" w:hAnsi="宋体" w:eastAsia="宋体" w:cs="宋体"/>
          <w:lang w:eastAsia="zh-CN"/>
        </w:rPr>
        <w:t>在美国被称为＂共同基金＂；</w:t>
      </w:r>
    </w:p>
    <w:p>
      <w:pPr>
        <w:rPr>
          <w:rFonts w:hint="eastAsia" w:ascii="宋体" w:hAnsi="宋体" w:eastAsia="宋体" w:cs="宋体"/>
          <w:lang w:eastAsia="zh-CN"/>
        </w:rPr>
      </w:pPr>
      <w:r>
        <w:rPr>
          <w:rFonts w:hint="eastAsia" w:ascii="宋体" w:hAnsi="宋体" w:eastAsia="宋体" w:cs="宋体"/>
          <w:lang w:eastAsia="zh-CN"/>
        </w:rPr>
        <w:t>在英国和我国香港特别行政区被称为“单位信托基金”；</w:t>
      </w:r>
    </w:p>
    <w:p>
      <w:pPr>
        <w:rPr>
          <w:rFonts w:hint="eastAsia" w:ascii="宋体" w:hAnsi="宋体" w:eastAsia="宋体" w:cs="宋体"/>
          <w:lang w:eastAsia="zh-CN"/>
        </w:rPr>
      </w:pPr>
      <w:r>
        <w:rPr>
          <w:rFonts w:hint="eastAsia" w:ascii="宋体" w:hAnsi="宋体" w:eastAsia="宋体" w:cs="宋体"/>
          <w:lang w:eastAsia="zh-CN"/>
        </w:rPr>
        <w:t>在欧洲一些国家被称为“集合投资基金”；</w:t>
      </w:r>
    </w:p>
    <w:p>
      <w:pPr>
        <w:rPr>
          <w:rFonts w:hint="eastAsia" w:ascii="宋体" w:hAnsi="宋体" w:eastAsia="宋体" w:cs="宋体"/>
          <w:lang w:eastAsia="zh-CN"/>
        </w:rPr>
      </w:pPr>
      <w:r>
        <w:rPr>
          <w:rFonts w:hint="eastAsia" w:ascii="宋体" w:hAnsi="宋体" w:eastAsia="宋体" w:cs="宋体"/>
          <w:lang w:eastAsia="zh-CN"/>
        </w:rPr>
        <w:t>在日本和我国台湾地区被称为“证券投资信托基金”</w:t>
      </w:r>
    </w:p>
    <w:p>
      <w:pPr>
        <w:rPr>
          <w:rFonts w:hint="eastAsia" w:ascii="宋体" w:hAnsi="宋体" w:eastAsia="宋体" w:cs="宋体"/>
          <w:lang w:eastAsia="zh-CN"/>
        </w:rPr>
      </w:pPr>
      <w:r>
        <w:rPr>
          <w:rFonts w:hint="eastAsia" w:ascii="宋体" w:hAnsi="宋体" w:eastAsia="宋体" w:cs="宋体"/>
          <w:lang w:eastAsia="zh-CN"/>
        </w:rPr>
        <w:t>（二）证券投资基金的特点</w:t>
      </w:r>
    </w:p>
    <w:p>
      <w:pPr>
        <w:rPr>
          <w:rFonts w:hint="eastAsia" w:ascii="宋体" w:hAnsi="宋体" w:eastAsia="宋体" w:cs="宋体"/>
          <w:lang w:eastAsia="zh-CN"/>
        </w:rPr>
      </w:pPr>
      <w:r>
        <w:rPr>
          <w:rFonts w:hint="eastAsia" w:ascii="宋体" w:hAnsi="宋体" w:eastAsia="宋体" w:cs="宋体"/>
          <w:lang w:eastAsia="zh-CN"/>
        </w:rPr>
        <w:t>（1）集合理财、专业管理。</w:t>
      </w:r>
    </w:p>
    <w:p>
      <w:pPr>
        <w:rPr>
          <w:rFonts w:hint="eastAsia" w:ascii="宋体" w:hAnsi="宋体" w:eastAsia="宋体" w:cs="宋体"/>
          <w:lang w:eastAsia="zh-CN"/>
        </w:rPr>
      </w:pPr>
      <w:r>
        <w:rPr>
          <w:rFonts w:hint="eastAsia" w:ascii="宋体" w:hAnsi="宋体" w:eastAsia="宋体" w:cs="宋体"/>
          <w:lang w:eastAsia="zh-CN"/>
        </w:rPr>
        <w:t>（2）组合投资、分散风险。</w:t>
      </w:r>
    </w:p>
    <w:p>
      <w:pPr>
        <w:rPr>
          <w:rFonts w:hint="eastAsia" w:ascii="宋体" w:hAnsi="宋体" w:eastAsia="宋体" w:cs="宋体"/>
          <w:lang w:eastAsia="zh-CN"/>
        </w:rPr>
      </w:pPr>
      <w:r>
        <w:rPr>
          <w:rFonts w:hint="eastAsia" w:ascii="宋体" w:hAnsi="宋体" w:eastAsia="宋体" w:cs="宋体"/>
          <w:lang w:eastAsia="zh-CN"/>
        </w:rPr>
        <w:t>（3）利益共享、风险共担。基金投资收益在扣除由基金承担的费用后的盈余全部归基金投资者所有，基金投资者一般会按照所持有的基金份额比例进行分配。</w:t>
      </w:r>
    </w:p>
    <w:p>
      <w:pPr>
        <w:rPr>
          <w:rFonts w:hint="eastAsia" w:ascii="宋体" w:hAnsi="宋体" w:eastAsia="宋体" w:cs="宋体"/>
          <w:lang w:eastAsia="zh-CN"/>
        </w:rPr>
      </w:pPr>
      <w:r>
        <w:rPr>
          <w:rFonts w:hint="eastAsia" w:ascii="宋体" w:hAnsi="宋体" w:eastAsia="宋体" w:cs="宋体"/>
          <w:lang w:eastAsia="zh-CN"/>
        </w:rPr>
        <w:t>（4）严格监管、信息透明。</w:t>
      </w:r>
    </w:p>
    <w:p>
      <w:pPr>
        <w:rPr>
          <w:rFonts w:hint="eastAsia" w:ascii="宋体" w:hAnsi="宋体" w:eastAsia="宋体" w:cs="宋体"/>
          <w:lang w:eastAsia="zh-CN"/>
        </w:rPr>
      </w:pPr>
      <w:r>
        <w:rPr>
          <w:rFonts w:hint="eastAsia" w:ascii="宋体" w:hAnsi="宋体" w:eastAsia="宋体" w:cs="宋体"/>
          <w:lang w:eastAsia="zh-CN"/>
        </w:rPr>
        <w:t>（5）独立托管、保障安全。</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考点二 </w:t>
      </w:r>
      <w:r>
        <w:rPr>
          <w:rFonts w:hint="eastAsia" w:ascii="宋体" w:hAnsi="宋体" w:eastAsia="宋体" w:cs="宋体"/>
          <w:lang w:eastAsia="zh-CN"/>
        </w:rPr>
        <w:t>证券投资基金与其他金融工具的比较</w:t>
      </w:r>
    </w:p>
    <w:p>
      <w:pPr>
        <w:rPr>
          <w:rFonts w:hint="eastAsia" w:ascii="宋体" w:hAnsi="宋体" w:eastAsia="宋体" w:cs="宋体"/>
          <w:lang w:eastAsia="zh-CN"/>
        </w:rPr>
      </w:pPr>
      <w:r>
        <w:rPr>
          <w:rFonts w:hint="eastAsia" w:ascii="宋体" w:hAnsi="宋体" w:eastAsia="宋体" w:cs="宋体"/>
          <w:lang w:eastAsia="zh-CN"/>
        </w:rPr>
        <w:t>（一）基金与股票、债券的差异</w:t>
      </w:r>
    </w:p>
    <w:p>
      <w:pPr>
        <w:rPr>
          <w:rFonts w:hint="eastAsia" w:ascii="宋体" w:hAnsi="宋体" w:eastAsia="宋体" w:cs="宋体"/>
          <w:lang w:eastAsia="zh-CN"/>
        </w:rPr>
      </w:pPr>
      <w:r>
        <w:rPr>
          <w:rFonts w:hint="eastAsia" w:ascii="宋体" w:hAnsi="宋体" w:eastAsia="宋体" w:cs="宋体"/>
          <w:lang w:eastAsia="zh-CN"/>
        </w:rPr>
        <w:t>1.反映的经济关系不同</w:t>
      </w:r>
    </w:p>
    <w:tbl>
      <w:tblPr>
        <w:tblStyle w:val="5"/>
        <w:tblW w:w="4998" w:type="pct"/>
        <w:tblCellSpacing w:w="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378"/>
        <w:gridCol w:w="2927"/>
        <w:gridCol w:w="2539"/>
        <w:gridCol w:w="1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365" w:hRule="atLeast"/>
          <w:tblCellSpacing w:w="0" w:type="dxa"/>
        </w:trPr>
        <w:tc>
          <w:tcPr>
            <w:tcW w:w="800"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股票</w:t>
            </w:r>
          </w:p>
        </w:tc>
        <w:tc>
          <w:tcPr>
            <w:tcW w:w="1699"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所有权关系</w:t>
            </w:r>
          </w:p>
        </w:tc>
        <w:tc>
          <w:tcPr>
            <w:tcW w:w="1474"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所有权凭证</w:t>
            </w:r>
          </w:p>
        </w:tc>
        <w:tc>
          <w:tcPr>
            <w:tcW w:w="1025"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股东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blCellSpacing w:w="0" w:type="dxa"/>
        </w:trPr>
        <w:tc>
          <w:tcPr>
            <w:tcW w:w="800"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债券</w:t>
            </w:r>
          </w:p>
        </w:tc>
        <w:tc>
          <w:tcPr>
            <w:tcW w:w="1699"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债权债务关系</w:t>
            </w:r>
          </w:p>
        </w:tc>
        <w:tc>
          <w:tcPr>
            <w:tcW w:w="1474"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债权凭证</w:t>
            </w:r>
          </w:p>
        </w:tc>
        <w:tc>
          <w:tcPr>
            <w:tcW w:w="1025"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债权人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blCellSpacing w:w="0" w:type="dxa"/>
        </w:trPr>
        <w:tc>
          <w:tcPr>
            <w:tcW w:w="800"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基金</w:t>
            </w:r>
          </w:p>
        </w:tc>
        <w:tc>
          <w:tcPr>
            <w:tcW w:w="1699"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信托关系</w:t>
            </w:r>
          </w:p>
        </w:tc>
        <w:tc>
          <w:tcPr>
            <w:tcW w:w="1474"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受益凭证</w:t>
            </w:r>
          </w:p>
        </w:tc>
        <w:tc>
          <w:tcPr>
            <w:tcW w:w="1025" w:type="pct"/>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受益人</w:t>
            </w:r>
          </w:p>
        </w:tc>
      </w:tr>
    </w:tbl>
    <w:p>
      <w:pPr>
        <w:rPr>
          <w:rFonts w:hint="eastAsia" w:ascii="宋体" w:hAnsi="宋体" w:eastAsia="宋体" w:cs="宋体"/>
          <w:lang w:eastAsia="zh-CN"/>
        </w:rPr>
      </w:pPr>
      <w:r>
        <w:rPr>
          <w:rFonts w:hint="eastAsia" w:ascii="宋体" w:hAnsi="宋体" w:eastAsia="宋体" w:cs="宋体"/>
          <w:lang w:eastAsia="zh-CN"/>
        </w:rPr>
        <w:t>2.所筹资金的投向不同</w:t>
      </w:r>
    </w:p>
    <w:tbl>
      <w:tblPr>
        <w:tblStyle w:val="5"/>
        <w:tblW w:w="8619" w:type="dxa"/>
        <w:tblCellSpacing w:w="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034"/>
        <w:gridCol w:w="2349"/>
        <w:gridCol w:w="4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8" w:hRule="atLeast"/>
          <w:tblCellSpacing w:w="0" w:type="dxa"/>
        </w:trPr>
        <w:tc>
          <w:tcPr>
            <w:tcW w:w="0" w:type="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股票、债券</w:t>
            </w:r>
          </w:p>
        </w:tc>
        <w:tc>
          <w:tcPr>
            <w:tcW w:w="0" w:type="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直接投资工具</w:t>
            </w:r>
          </w:p>
        </w:tc>
        <w:tc>
          <w:tcPr>
            <w:tcW w:w="0" w:type="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实业领域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3" w:hRule="atLeast"/>
          <w:tblCellSpacing w:w="0" w:type="dxa"/>
        </w:trPr>
        <w:tc>
          <w:tcPr>
            <w:tcW w:w="0" w:type="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基金</w:t>
            </w:r>
          </w:p>
        </w:tc>
        <w:tc>
          <w:tcPr>
            <w:tcW w:w="0" w:type="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间接投资工具</w:t>
            </w:r>
          </w:p>
        </w:tc>
        <w:tc>
          <w:tcPr>
            <w:tcW w:w="0" w:type="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有价证券等金融工具或产品</w:t>
            </w:r>
          </w:p>
        </w:tc>
      </w:tr>
    </w:tbl>
    <w:p>
      <w:pPr>
        <w:rPr>
          <w:rFonts w:hint="eastAsia" w:ascii="宋体" w:hAnsi="宋体" w:eastAsia="宋体" w:cs="宋体"/>
          <w:lang w:eastAsia="zh-CN"/>
        </w:rPr>
      </w:pPr>
      <w:r>
        <w:rPr>
          <w:rFonts w:hint="eastAsia" w:ascii="宋体" w:hAnsi="宋体" w:eastAsia="宋体" w:cs="宋体"/>
          <w:lang w:eastAsia="zh-CN"/>
        </w:rPr>
        <w:t>3.投资收益与风险大小不同</w:t>
      </w:r>
    </w:p>
    <w:tbl>
      <w:tblPr>
        <w:tblStyle w:val="5"/>
        <w:tblW w:w="4998" w:type="pct"/>
        <w:tblCellSpacing w:w="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382"/>
        <w:gridCol w:w="4065"/>
        <w:gridCol w:w="3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1" w:hRule="atLeast"/>
          <w:tblCellSpacing w:w="0" w:type="dxa"/>
        </w:trPr>
        <w:tc>
          <w:tcPr>
            <w:tcW w:w="80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股票</w:t>
            </w:r>
          </w:p>
        </w:tc>
        <w:tc>
          <w:tcPr>
            <w:tcW w:w="2360"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波动性较大</w:t>
            </w:r>
          </w:p>
        </w:tc>
        <w:tc>
          <w:tcPr>
            <w:tcW w:w="183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高风险、高收益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7" w:hRule="atLeast"/>
          <w:tblCellSpacing w:w="0" w:type="dxa"/>
        </w:trPr>
        <w:tc>
          <w:tcPr>
            <w:tcW w:w="80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债券</w:t>
            </w:r>
          </w:p>
        </w:tc>
        <w:tc>
          <w:tcPr>
            <w:tcW w:w="2360"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波动性要小</w:t>
            </w:r>
          </w:p>
        </w:tc>
        <w:tc>
          <w:tcPr>
            <w:tcW w:w="183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低风险、低收益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tblCellSpacing w:w="0" w:type="dxa"/>
        </w:trPr>
        <w:tc>
          <w:tcPr>
            <w:tcW w:w="80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基金</w:t>
            </w:r>
          </w:p>
        </w:tc>
        <w:tc>
          <w:tcPr>
            <w:tcW w:w="2360"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收益和风险取决于基金种类和投资对象</w:t>
            </w:r>
          </w:p>
        </w:tc>
        <w:tc>
          <w:tcPr>
            <w:tcW w:w="183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风险相对适中、收益相对稳定</w:t>
            </w:r>
          </w:p>
        </w:tc>
      </w:tr>
    </w:tbl>
    <w:p>
      <w:pPr>
        <w:rPr>
          <w:rFonts w:hint="eastAsia" w:ascii="宋体" w:hAnsi="宋体" w:eastAsia="宋体" w:cs="宋体"/>
          <w:lang w:eastAsia="zh-CN"/>
        </w:rPr>
      </w:pPr>
      <w:r>
        <w:rPr>
          <w:rFonts w:hint="eastAsia" w:ascii="宋体" w:hAnsi="宋体" w:eastAsia="宋体" w:cs="宋体"/>
          <w:lang w:eastAsia="zh-CN"/>
        </w:rPr>
        <w:t>（二）基金与银行储蓄存款的差异</w:t>
      </w:r>
    </w:p>
    <w:tbl>
      <w:tblPr>
        <w:tblStyle w:val="5"/>
        <w:tblW w:w="4998" w:type="pct"/>
        <w:tblCellSpacing w:w="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19"/>
        <w:gridCol w:w="3220"/>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blCellSpacing w:w="0" w:type="dxa"/>
        </w:trPr>
        <w:tc>
          <w:tcPr>
            <w:tcW w:w="1463"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p>
        </w:tc>
        <w:tc>
          <w:tcPr>
            <w:tcW w:w="1869"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b/>
                <w:bCs/>
                <w:color w:val="auto"/>
                <w:sz w:val="21"/>
                <w:szCs w:val="21"/>
              </w:rPr>
              <w:t>基金</w:t>
            </w:r>
          </w:p>
        </w:tc>
        <w:tc>
          <w:tcPr>
            <w:tcW w:w="166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b/>
                <w:bCs/>
                <w:color w:val="auto"/>
                <w:sz w:val="21"/>
                <w:szCs w:val="21"/>
              </w:rPr>
              <w:t>银行储蓄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1" w:hRule="atLeast"/>
          <w:tblCellSpacing w:w="0" w:type="dxa"/>
        </w:trPr>
        <w:tc>
          <w:tcPr>
            <w:tcW w:w="1463"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性质不同</w:t>
            </w:r>
          </w:p>
        </w:tc>
        <w:tc>
          <w:tcPr>
            <w:tcW w:w="1869"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受益凭证</w:t>
            </w:r>
          </w:p>
        </w:tc>
        <w:tc>
          <w:tcPr>
            <w:tcW w:w="166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信用凭证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6" w:hRule="atLeast"/>
          <w:tblCellSpacing w:w="0" w:type="dxa"/>
        </w:trPr>
        <w:tc>
          <w:tcPr>
            <w:tcW w:w="1463"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收益与风险特性不同</w:t>
            </w:r>
          </w:p>
        </w:tc>
        <w:tc>
          <w:tcPr>
            <w:tcW w:w="1869"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适中</w:t>
            </w:r>
          </w:p>
        </w:tc>
        <w:tc>
          <w:tcPr>
            <w:tcW w:w="166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几乎无风险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4" w:hRule="atLeast"/>
          <w:tblCellSpacing w:w="0" w:type="dxa"/>
        </w:trPr>
        <w:tc>
          <w:tcPr>
            <w:tcW w:w="1463"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信息披露程度不同</w:t>
            </w:r>
          </w:p>
        </w:tc>
        <w:tc>
          <w:tcPr>
            <w:tcW w:w="1869"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定期披露</w:t>
            </w:r>
          </w:p>
        </w:tc>
        <w:tc>
          <w:tcPr>
            <w:tcW w:w="166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不披露</w:t>
            </w:r>
          </w:p>
        </w:tc>
      </w:tr>
    </w:tbl>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（三）基金与保险产品的差异</w:t>
      </w:r>
    </w:p>
    <w:tbl>
      <w:tblPr>
        <w:tblStyle w:val="5"/>
        <w:tblW w:w="4998" w:type="pct"/>
        <w:tblCellSpacing w:w="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871"/>
        <w:gridCol w:w="2102"/>
        <w:gridCol w:w="3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blCellSpacing w:w="0" w:type="dxa"/>
        </w:trPr>
        <w:tc>
          <w:tcPr>
            <w:tcW w:w="166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p>
        </w:tc>
        <w:tc>
          <w:tcPr>
            <w:tcW w:w="1220"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b/>
                <w:bCs/>
                <w:color w:val="auto"/>
                <w:sz w:val="21"/>
                <w:szCs w:val="21"/>
              </w:rPr>
              <w:t>基金</w:t>
            </w:r>
          </w:p>
        </w:tc>
        <w:tc>
          <w:tcPr>
            <w:tcW w:w="211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b/>
                <w:bCs/>
                <w:color w:val="auto"/>
                <w:sz w:val="21"/>
                <w:szCs w:val="21"/>
              </w:rPr>
              <w:t>保险产品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4" w:hRule="atLeast"/>
          <w:tblCellSpacing w:w="0" w:type="dxa"/>
        </w:trPr>
        <w:tc>
          <w:tcPr>
            <w:tcW w:w="166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对投资人要求不同</w:t>
            </w:r>
          </w:p>
        </w:tc>
        <w:tc>
          <w:tcPr>
            <w:tcW w:w="1220"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无</w:t>
            </w:r>
          </w:p>
        </w:tc>
        <w:tc>
          <w:tcPr>
            <w:tcW w:w="211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保险人的年龄、身体健康状况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7" w:hRule="atLeast"/>
          <w:tblCellSpacing w:w="0" w:type="dxa"/>
        </w:trPr>
        <w:tc>
          <w:tcPr>
            <w:tcW w:w="166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目的不同</w:t>
            </w:r>
          </w:p>
        </w:tc>
        <w:tc>
          <w:tcPr>
            <w:tcW w:w="1220"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分散或转移风险</w:t>
            </w:r>
          </w:p>
        </w:tc>
        <w:tc>
          <w:tcPr>
            <w:tcW w:w="211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获取投资收益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4" w:hRule="atLeast"/>
          <w:tblCellSpacing w:w="0" w:type="dxa"/>
        </w:trPr>
        <w:tc>
          <w:tcPr>
            <w:tcW w:w="166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变现能力不同</w:t>
            </w:r>
          </w:p>
        </w:tc>
        <w:tc>
          <w:tcPr>
            <w:tcW w:w="1220"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随时变现</w:t>
            </w:r>
          </w:p>
        </w:tc>
        <w:tc>
          <w:tcPr>
            <w:tcW w:w="211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不能随时变现</w:t>
            </w:r>
          </w:p>
        </w:tc>
      </w:tr>
    </w:tbl>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考点三 </w:t>
      </w:r>
      <w:r>
        <w:rPr>
          <w:rFonts w:hint="eastAsia" w:ascii="宋体" w:hAnsi="宋体" w:eastAsia="宋体" w:cs="宋体"/>
          <w:lang w:eastAsia="zh-CN"/>
        </w:rPr>
        <w:t>证券投资基金的参与主体</w:t>
      </w:r>
    </w:p>
    <w:p>
      <w:pPr>
        <w:rPr>
          <w:rFonts w:hint="eastAsia" w:ascii="宋体" w:hAnsi="宋体" w:eastAsia="宋体" w:cs="宋体"/>
          <w:lang w:eastAsia="zh-CN"/>
        </w:rPr>
      </w:pPr>
      <w:r>
        <w:rPr>
          <w:rFonts w:hint="eastAsia" w:ascii="宋体" w:hAnsi="宋体" w:eastAsia="宋体" w:cs="宋体"/>
          <w:lang w:eastAsia="zh-CN"/>
        </w:rPr>
        <w:t>1.基金当事人</w:t>
      </w:r>
    </w:p>
    <w:p>
      <w:pPr>
        <w:rPr>
          <w:rFonts w:hint="eastAsia" w:ascii="宋体" w:hAnsi="宋体" w:eastAsia="宋体" w:cs="宋体"/>
          <w:lang w:eastAsia="zh-CN"/>
        </w:rPr>
      </w:pPr>
      <w:r>
        <w:rPr>
          <w:rFonts w:hint="eastAsia" w:ascii="宋体" w:hAnsi="宋体" w:eastAsia="宋体" w:cs="宋体"/>
          <w:lang w:eastAsia="zh-CN"/>
        </w:rPr>
        <w:t>我国的证券投资基金依据基金合同设立，基金份额持有人、基金管理人与基金托管人是基金合同的当事人，简称基金当事人。</w:t>
      </w:r>
    </w:p>
    <w:p>
      <w:pPr>
        <w:rPr>
          <w:rFonts w:hint="eastAsia" w:ascii="宋体" w:hAnsi="宋体" w:eastAsia="宋体" w:cs="宋体"/>
          <w:lang w:eastAsia="zh-CN"/>
        </w:rPr>
      </w:pPr>
      <w:r>
        <w:rPr>
          <w:rFonts w:hint="eastAsia" w:ascii="宋体" w:hAnsi="宋体" w:eastAsia="宋体" w:cs="宋体"/>
          <w:lang w:eastAsia="zh-CN"/>
        </w:rPr>
        <w:t>（1）基金份额持有人：取得基金收益、申赎或转让基金份额、出席或委派代表出席份额持有人大会；</w:t>
      </w:r>
    </w:p>
    <w:p>
      <w:pPr>
        <w:rPr>
          <w:rFonts w:hint="eastAsia" w:ascii="宋体" w:hAnsi="宋体" w:eastAsia="宋体" w:cs="宋体"/>
          <w:lang w:eastAsia="zh-CN"/>
        </w:rPr>
      </w:pPr>
      <w:r>
        <w:rPr>
          <w:rFonts w:hint="eastAsia" w:ascii="宋体" w:hAnsi="宋体" w:eastAsia="宋体" w:cs="宋体"/>
          <w:lang w:eastAsia="zh-CN"/>
        </w:rPr>
        <w:t>（2）基金管理人：处于核心地位，由基金管理公司担任；</w:t>
      </w:r>
    </w:p>
    <w:p>
      <w:pPr>
        <w:rPr>
          <w:rFonts w:hint="eastAsia" w:ascii="宋体" w:hAnsi="宋体" w:eastAsia="宋体" w:cs="宋体"/>
          <w:lang w:eastAsia="zh-CN"/>
        </w:rPr>
      </w:pPr>
      <w:r>
        <w:rPr>
          <w:rFonts w:hint="eastAsia" w:ascii="宋体" w:hAnsi="宋体" w:eastAsia="宋体" w:cs="宋体"/>
          <w:lang w:eastAsia="zh-CN"/>
        </w:rPr>
        <w:t>（3）基金托管人：独立于基金管理人，由商业银行担任。</w:t>
      </w:r>
    </w:p>
    <w:p>
      <w:pPr>
        <w:rPr>
          <w:rFonts w:hint="eastAsia" w:ascii="宋体" w:hAnsi="宋体" w:eastAsia="宋体" w:cs="宋体"/>
          <w:lang w:eastAsia="zh-CN"/>
        </w:rPr>
      </w:pPr>
      <w:r>
        <w:rPr>
          <w:rFonts w:hint="eastAsia" w:ascii="宋体" w:hAnsi="宋体" w:eastAsia="宋体" w:cs="宋体"/>
          <w:lang w:eastAsia="zh-CN"/>
        </w:rPr>
        <w:t>2.基金市场服务机构</w:t>
      </w:r>
    </w:p>
    <w:p>
      <w:pPr>
        <w:rPr>
          <w:rFonts w:hint="eastAsia" w:ascii="宋体" w:hAnsi="宋体" w:eastAsia="宋体" w:cs="宋体"/>
          <w:lang w:eastAsia="zh-CN"/>
        </w:rPr>
      </w:pPr>
      <w:r>
        <w:rPr>
          <w:rFonts w:hint="eastAsia" w:ascii="宋体" w:hAnsi="宋体" w:eastAsia="宋体" w:cs="宋体"/>
          <w:lang w:eastAsia="zh-CN"/>
        </w:rPr>
        <w:t xml:space="preserve">    基金管理人、基金托管人既是基金的当事人，又是基金的主要服务机构。 </w:t>
      </w:r>
    </w:p>
    <w:p>
      <w:pPr>
        <w:rPr>
          <w:rFonts w:hint="eastAsia" w:ascii="宋体" w:hAnsi="宋体" w:eastAsia="宋体" w:cs="宋体"/>
          <w:lang w:eastAsia="zh-CN"/>
        </w:rPr>
      </w:pPr>
      <w:r>
        <w:rPr>
          <w:rFonts w:hint="eastAsia" w:ascii="宋体" w:hAnsi="宋体" w:eastAsia="宋体" w:cs="宋体"/>
          <w:lang w:eastAsia="zh-CN"/>
        </w:rPr>
        <w:t>基金销售机构、销售支付机构、份额登记机构、估值核算机构、投资顾问机构、评价机构、信息技术系统服务机构以及律师事务所、会计师事务所等。</w:t>
      </w:r>
    </w:p>
    <w:p>
      <w:pPr>
        <w:rPr>
          <w:rFonts w:hint="eastAsia" w:ascii="宋体" w:hAnsi="宋体" w:eastAsia="宋体" w:cs="宋体"/>
          <w:lang w:eastAsia="zh-CN"/>
        </w:rPr>
      </w:pPr>
      <w:r>
        <w:rPr>
          <w:rFonts w:hint="eastAsia" w:ascii="宋体" w:hAnsi="宋体" w:eastAsia="宋体" w:cs="宋体"/>
          <w:lang w:eastAsia="zh-CN"/>
        </w:rPr>
        <w:t>3.基金监管机构和自律组织</w:t>
      </w:r>
    </w:p>
    <w:p>
      <w:pPr>
        <w:rPr>
          <w:rFonts w:hint="eastAsia" w:ascii="宋体" w:hAnsi="宋体" w:eastAsia="宋体" w:cs="宋体"/>
          <w:lang w:eastAsia="zh-CN"/>
        </w:rPr>
      </w:pPr>
      <w:r>
        <w:rPr>
          <w:rFonts w:hint="eastAsia" w:ascii="宋体" w:hAnsi="宋体" w:eastAsia="宋体" w:cs="宋体"/>
          <w:lang w:eastAsia="zh-CN"/>
        </w:rPr>
        <w:t xml:space="preserve">    （1）基金监管机构 </w:t>
      </w:r>
    </w:p>
    <w:p>
      <w:pPr>
        <w:rPr>
          <w:rFonts w:hint="eastAsia" w:ascii="宋体" w:hAnsi="宋体" w:eastAsia="宋体" w:cs="宋体"/>
          <w:lang w:eastAsia="zh-CN"/>
        </w:rPr>
      </w:pPr>
      <w:r>
        <w:rPr>
          <w:rFonts w:hint="eastAsia" w:ascii="宋体" w:hAnsi="宋体" w:eastAsia="宋体" w:cs="宋体"/>
          <w:lang w:eastAsia="zh-CN"/>
        </w:rPr>
        <w:t>在我国，基金监管机构为中国证监会。对基金管理人、基金托管人以及其他从事基金活动的服务机构进行监督。</w:t>
      </w:r>
    </w:p>
    <w:p>
      <w:pPr>
        <w:rPr>
          <w:rFonts w:hint="eastAsia" w:ascii="宋体" w:hAnsi="宋体" w:eastAsia="宋体" w:cs="宋体"/>
          <w:lang w:eastAsia="zh-CN"/>
        </w:rPr>
      </w:pPr>
      <w:r>
        <w:rPr>
          <w:rFonts w:hint="eastAsia" w:ascii="宋体" w:hAnsi="宋体" w:eastAsia="宋体" w:cs="宋体"/>
          <w:lang w:eastAsia="zh-CN"/>
        </w:rPr>
        <w:t xml:space="preserve">    （2）基金自律组织</w:t>
      </w:r>
    </w:p>
    <w:p>
      <w:pPr>
        <w:rPr>
          <w:rFonts w:hint="eastAsia" w:ascii="宋体" w:hAnsi="宋体" w:eastAsia="宋体" w:cs="宋体"/>
          <w:lang w:eastAsia="zh-CN"/>
        </w:rPr>
      </w:pPr>
      <w:r>
        <w:rPr>
          <w:rFonts w:hint="eastAsia" w:ascii="宋体" w:hAnsi="宋体" w:eastAsia="宋体" w:cs="宋体"/>
          <w:lang w:eastAsia="zh-CN"/>
        </w:rPr>
        <w:t xml:space="preserve">    证券交易所是基金的自律管理机构之一。我国的基金自律组织是 2012 年 6 月 6日成立的中国证券投资基金业协会。</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考点四</w:t>
      </w:r>
      <w:r>
        <w:rPr>
          <w:rFonts w:hint="eastAsia" w:ascii="宋体" w:hAnsi="宋体" w:eastAsia="宋体" w:cs="宋体"/>
        </w:rPr>
        <w:t xml:space="preserve"> </w:t>
      </w:r>
      <w:r>
        <w:rPr>
          <w:rFonts w:hint="eastAsia" w:ascii="宋体" w:hAnsi="宋体" w:eastAsia="宋体" w:cs="宋体"/>
          <w:lang w:eastAsia="zh-CN"/>
        </w:rPr>
        <w:t>信托的特征</w:t>
      </w:r>
    </w:p>
    <w:p>
      <w:pPr>
        <w:rPr>
          <w:rFonts w:hint="eastAsia" w:ascii="宋体" w:hAnsi="宋体" w:eastAsia="宋体" w:cs="宋体"/>
          <w:lang w:eastAsia="zh-CN"/>
        </w:rPr>
      </w:pPr>
      <w:r>
        <w:rPr>
          <w:rFonts w:hint="eastAsia" w:ascii="宋体" w:hAnsi="宋体" w:eastAsia="宋体" w:cs="宋体"/>
          <w:lang w:eastAsia="zh-CN"/>
        </w:rPr>
        <w:t>（1）信托是以信任为基础，受托人应具有良好的信誉。</w:t>
      </w:r>
    </w:p>
    <w:p>
      <w:pPr>
        <w:rPr>
          <w:rFonts w:hint="eastAsia" w:ascii="宋体" w:hAnsi="宋体" w:eastAsia="宋体" w:cs="宋体"/>
          <w:lang w:eastAsia="zh-CN"/>
        </w:rPr>
      </w:pPr>
      <w:r>
        <w:rPr>
          <w:rFonts w:hint="eastAsia" w:ascii="宋体" w:hAnsi="宋体" w:eastAsia="宋体" w:cs="宋体"/>
          <w:lang w:eastAsia="zh-CN"/>
        </w:rPr>
        <w:t>（2）信托成立的前提是委托人要将自有财产委托给受托人。</w:t>
      </w:r>
    </w:p>
    <w:p>
      <w:pPr>
        <w:rPr>
          <w:rFonts w:hint="eastAsia" w:ascii="宋体" w:hAnsi="宋体" w:eastAsia="宋体" w:cs="宋体"/>
          <w:lang w:eastAsia="zh-CN"/>
        </w:rPr>
      </w:pPr>
      <w:r>
        <w:rPr>
          <w:rFonts w:hint="eastAsia" w:ascii="宋体" w:hAnsi="宋体" w:eastAsia="宋体" w:cs="宋体"/>
          <w:lang w:eastAsia="zh-CN"/>
        </w:rPr>
        <w:t>（3）信托财产具有独立性,信托依法成立后,信托财产即从委托人受托人以及受益人的自有财产中分离出来，成为独立运作的财产。</w:t>
      </w:r>
    </w:p>
    <w:p>
      <w:pPr>
        <w:rPr>
          <w:rFonts w:hint="eastAsia" w:ascii="宋体" w:hAnsi="宋体" w:eastAsia="宋体" w:cs="宋体"/>
          <w:lang w:eastAsia="zh-CN"/>
        </w:rPr>
      </w:pPr>
      <w:r>
        <w:rPr>
          <w:rFonts w:hint="eastAsia" w:ascii="宋体" w:hAnsi="宋体" w:eastAsia="宋体" w:cs="宋体"/>
          <w:lang w:eastAsia="zh-CN"/>
        </w:rPr>
        <w:t>（4）受托人要为受益人的最大利益管理信托事务。</w:t>
      </w:r>
    </w:p>
    <w:p>
      <w:pPr>
        <w:rPr>
          <w:rFonts w:hint="eastAsia" w:ascii="宋体" w:hAnsi="宋体" w:eastAsia="宋体" w:cs="宋体"/>
          <w:lang w:eastAsia="zh-CN"/>
        </w:rPr>
      </w:pPr>
      <w:r>
        <w:rPr>
          <w:rFonts w:hint="eastAsia" w:ascii="宋体" w:hAnsi="宋体" w:eastAsia="宋体" w:cs="宋体"/>
          <w:lang w:eastAsia="zh-CN"/>
        </w:rPr>
        <w:t>（5）信托不因委托人或者受托人的死亡、丧失民事行为能力、依法解散、被依法撤销或者被宣告破产而终止，也不因受托人的辞任而终止，具有一定的连续性和稳定性。</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考点五</w:t>
      </w:r>
      <w:r>
        <w:rPr>
          <w:rFonts w:hint="eastAsia" w:ascii="宋体" w:hAnsi="宋体" w:eastAsia="宋体" w:cs="宋体"/>
          <w:lang w:eastAsia="zh-CN"/>
        </w:rPr>
        <w:t>信托的功能</w:t>
      </w:r>
    </w:p>
    <w:p>
      <w:pPr>
        <w:rPr>
          <w:rFonts w:hint="eastAsia" w:ascii="宋体" w:hAnsi="宋体" w:eastAsia="宋体" w:cs="宋体"/>
          <w:lang w:eastAsia="zh-CN"/>
        </w:rPr>
      </w:pPr>
      <w:r>
        <w:rPr>
          <w:rFonts w:hint="eastAsia" w:ascii="宋体" w:hAnsi="宋体" w:eastAsia="宋体" w:cs="宋体"/>
          <w:lang w:eastAsia="zh-CN"/>
        </w:rPr>
        <w:t>（1）财产管理功能。</w:t>
      </w:r>
    </w:p>
    <w:p>
      <w:pPr>
        <w:rPr>
          <w:rFonts w:hint="eastAsia" w:ascii="宋体" w:hAnsi="宋体" w:eastAsia="宋体" w:cs="宋体"/>
          <w:lang w:eastAsia="zh-CN"/>
        </w:rPr>
      </w:pPr>
      <w:r>
        <w:rPr>
          <w:rFonts w:hint="eastAsia" w:ascii="宋体" w:hAnsi="宋体" w:eastAsia="宋体" w:cs="宋体"/>
          <w:lang w:eastAsia="zh-CN"/>
        </w:rPr>
        <w:t>（2）融通资金功能。</w:t>
      </w:r>
    </w:p>
    <w:p>
      <w:pPr>
        <w:rPr>
          <w:rFonts w:hint="eastAsia" w:ascii="宋体" w:hAnsi="宋体" w:eastAsia="宋体" w:cs="宋体"/>
          <w:lang w:eastAsia="zh-CN"/>
        </w:rPr>
      </w:pPr>
      <w:r>
        <w:rPr>
          <w:rFonts w:hint="eastAsia" w:ascii="宋体" w:hAnsi="宋体" w:eastAsia="宋体" w:cs="宋体"/>
          <w:lang w:eastAsia="zh-CN"/>
        </w:rPr>
        <w:t>（3）社会投资功能。</w:t>
      </w:r>
    </w:p>
    <w:p>
      <w:pPr>
        <w:rPr>
          <w:rFonts w:hint="eastAsia" w:ascii="宋体" w:hAnsi="宋体" w:eastAsia="宋体" w:cs="宋体"/>
          <w:lang w:eastAsia="zh-CN"/>
        </w:rPr>
      </w:pPr>
      <w:r>
        <w:rPr>
          <w:rFonts w:hint="eastAsia" w:ascii="宋体" w:hAnsi="宋体" w:eastAsia="宋体" w:cs="宋体"/>
          <w:lang w:eastAsia="zh-CN"/>
        </w:rPr>
        <w:t>（4）风险隔离功能。</w:t>
      </w:r>
    </w:p>
    <w:p>
      <w:pPr>
        <w:rPr>
          <w:rFonts w:hint="eastAsia" w:ascii="宋体" w:hAnsi="宋体" w:eastAsia="宋体" w:cs="宋体"/>
          <w:lang w:eastAsia="zh-CN"/>
        </w:rPr>
      </w:pPr>
      <w:r>
        <w:rPr>
          <w:rFonts w:hint="eastAsia" w:ascii="宋体" w:hAnsi="宋体" w:eastAsia="宋体" w:cs="宋体"/>
          <w:lang w:eastAsia="zh-CN"/>
        </w:rPr>
        <w:t>（5）社会公益服务功能</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考点六 </w:t>
      </w:r>
      <w:r>
        <w:rPr>
          <w:rFonts w:hint="eastAsia" w:ascii="宋体" w:hAnsi="宋体" w:eastAsia="宋体" w:cs="宋体"/>
          <w:lang w:eastAsia="zh-CN"/>
        </w:rPr>
        <w:t>信托主体、信托财产的基本内容</w:t>
      </w:r>
    </w:p>
    <w:p>
      <w:pPr>
        <w:rPr>
          <w:rFonts w:hint="eastAsia" w:ascii="宋体" w:hAnsi="宋体" w:eastAsia="宋体" w:cs="宋体"/>
          <w:lang w:eastAsia="zh-CN"/>
        </w:rPr>
      </w:pPr>
      <w:r>
        <w:rPr>
          <w:rFonts w:hint="eastAsia" w:ascii="宋体" w:hAnsi="宋体" w:eastAsia="宋体" w:cs="宋体"/>
          <w:lang w:eastAsia="zh-CN"/>
        </w:rPr>
        <w:t>1.信托主体</w:t>
      </w:r>
    </w:p>
    <w:p>
      <w:pPr>
        <w:rPr>
          <w:rFonts w:hint="eastAsia" w:ascii="宋体" w:hAnsi="宋体" w:eastAsia="宋体" w:cs="宋体"/>
          <w:lang w:eastAsia="zh-CN"/>
        </w:rPr>
      </w:pPr>
      <w:r>
        <w:rPr>
          <w:rFonts w:hint="eastAsia" w:ascii="宋体" w:hAnsi="宋体" w:eastAsia="宋体" w:cs="宋体"/>
          <w:lang w:eastAsia="zh-CN"/>
        </w:rPr>
        <w:t>信托主体包括委托人、受托人和受益人。</w:t>
      </w:r>
    </w:p>
    <w:p>
      <w:pPr>
        <w:rPr>
          <w:rFonts w:hint="eastAsia" w:ascii="宋体" w:hAnsi="宋体" w:eastAsia="宋体" w:cs="宋体"/>
          <w:lang w:eastAsia="zh-CN"/>
        </w:rPr>
      </w:pPr>
      <w:r>
        <w:rPr>
          <w:rFonts w:hint="eastAsia" w:ascii="宋体" w:hAnsi="宋体" w:eastAsia="宋体" w:cs="宋体"/>
          <w:lang w:eastAsia="zh-CN"/>
        </w:rPr>
        <w:t>2.信托财产</w:t>
      </w:r>
    </w:p>
    <w:p>
      <w:pPr>
        <w:rPr>
          <w:rFonts w:hint="eastAsia" w:ascii="宋体" w:hAnsi="宋体" w:eastAsia="宋体" w:cs="宋体"/>
          <w:lang w:eastAsia="zh-CN"/>
        </w:rPr>
      </w:pPr>
      <w:r>
        <w:rPr>
          <w:rFonts w:hint="eastAsia" w:ascii="宋体" w:hAnsi="宋体" w:eastAsia="宋体" w:cs="宋体"/>
          <w:lang w:eastAsia="zh-CN"/>
        </w:rPr>
        <w:t>《中华人民共和国信托法》第十四条规定,受托人因承诺信托而取得的财产是信托财产。受托人因信托财产的管理运用、处分或者其他情形而取得的财产，也归入信托财产。</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考点七 </w:t>
      </w:r>
      <w:r>
        <w:rPr>
          <w:rFonts w:hint="eastAsia" w:ascii="宋体" w:hAnsi="宋体" w:eastAsia="宋体" w:cs="宋体"/>
          <w:lang w:eastAsia="zh-CN"/>
        </w:rPr>
        <w:t>公司型基金和契约型基金</w:t>
      </w:r>
    </w:p>
    <w:p>
      <w:pPr>
        <w:rPr>
          <w:rFonts w:hint="eastAsia" w:ascii="宋体" w:hAnsi="宋体" w:eastAsia="宋体" w:cs="宋体"/>
          <w:lang w:eastAsia="zh-CN"/>
        </w:rPr>
      </w:pPr>
      <w:r>
        <w:rPr>
          <w:rFonts w:hint="eastAsia" w:ascii="宋体" w:hAnsi="宋体" w:eastAsia="宋体" w:cs="宋体"/>
          <w:lang w:val="en-US" w:eastAsia="zh-CN"/>
        </w:rPr>
        <w:t>1.</w:t>
      </w:r>
      <w:r>
        <w:rPr>
          <w:rFonts w:hint="eastAsia" w:ascii="宋体" w:hAnsi="宋体" w:eastAsia="宋体" w:cs="宋体"/>
          <w:lang w:eastAsia="zh-CN"/>
        </w:rPr>
        <w:t>证券投资基金依据法律形式的不同，可分为契约型基金与公司型基金。</w:t>
      </w:r>
    </w:p>
    <w:p>
      <w:pPr>
        <w:rPr>
          <w:rFonts w:hint="eastAsia" w:ascii="宋体" w:hAnsi="宋体" w:eastAsia="宋体" w:cs="宋体"/>
          <w:lang w:eastAsia="zh-CN"/>
        </w:rPr>
      </w:pPr>
      <w:r>
        <w:rPr>
          <w:rFonts w:hint="eastAsia" w:ascii="宋体" w:hAnsi="宋体" w:eastAsia="宋体" w:cs="宋体"/>
          <w:lang w:eastAsia="zh-CN"/>
        </w:rPr>
        <w:t>目前，我国的证券投资基金均为契约型基金。</w:t>
      </w:r>
    </w:p>
    <w:p>
      <w:pPr>
        <w:rPr>
          <w:rFonts w:hint="eastAsia" w:ascii="宋体" w:hAnsi="宋体" w:eastAsia="宋体" w:cs="宋体"/>
          <w:lang w:eastAsia="zh-CN"/>
        </w:rPr>
      </w:pPr>
      <w:r>
        <w:rPr>
          <w:rFonts w:hint="eastAsia" w:ascii="宋体" w:hAnsi="宋体" w:eastAsia="宋体" w:cs="宋体"/>
          <w:lang w:eastAsia="zh-CN"/>
        </w:rPr>
        <w:t>公司型基金则以美国的投资公司为代表。【我国的证券投资基金没有公司型基金】</w:t>
      </w:r>
    </w:p>
    <w:p>
      <w:pPr>
        <w:rPr>
          <w:rFonts w:hint="eastAsia" w:ascii="宋体" w:hAnsi="宋体" w:eastAsia="宋体" w:cs="宋体"/>
          <w:lang w:eastAsia="zh-CN"/>
        </w:rPr>
      </w:pPr>
      <w:r>
        <w:rPr>
          <w:rFonts w:hint="eastAsia" w:ascii="宋体" w:hAnsi="宋体" w:eastAsia="宋体" w:cs="宋体"/>
          <w:lang w:eastAsia="zh-CN"/>
        </w:rPr>
        <w:t>契约型基金是依据基金合同设立的一类基金；公司型基金在法律上是具有独立法人地位的股份投资公司。</w:t>
      </w:r>
    </w:p>
    <w:p>
      <w:pPr>
        <w:rPr>
          <w:rFonts w:hint="eastAsia" w:ascii="宋体" w:hAnsi="宋体" w:eastAsia="宋体" w:cs="宋体"/>
          <w:lang w:eastAsia="zh-CN"/>
        </w:rPr>
      </w:pPr>
      <w:r>
        <w:rPr>
          <w:rFonts w:hint="eastAsia" w:ascii="宋体" w:hAnsi="宋体" w:eastAsia="宋体" w:cs="宋体"/>
          <w:lang w:val="en-US" w:eastAsia="zh-CN"/>
        </w:rPr>
        <w:t>2.</w:t>
      </w:r>
      <w:r>
        <w:rPr>
          <w:rFonts w:hint="eastAsia" w:ascii="宋体" w:hAnsi="宋体" w:eastAsia="宋体" w:cs="宋体"/>
          <w:lang w:eastAsia="zh-CN"/>
        </w:rPr>
        <w:t>契约型基金与公司型基金主要有以下区别：</w:t>
      </w:r>
    </w:p>
    <w:tbl>
      <w:tblPr>
        <w:tblStyle w:val="5"/>
        <w:tblW w:w="9731" w:type="dxa"/>
        <w:tblCellSpacing w:w="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668"/>
        <w:gridCol w:w="3186"/>
        <w:gridCol w:w="3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blCellSpacing w:w="0" w:type="dxa"/>
        </w:trPr>
        <w:tc>
          <w:tcPr>
            <w:tcW w:w="2668"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p>
        </w:tc>
        <w:tc>
          <w:tcPr>
            <w:tcW w:w="3186"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b/>
                <w:bCs/>
                <w:color w:val="auto"/>
                <w:sz w:val="21"/>
                <w:szCs w:val="21"/>
              </w:rPr>
              <w:t>契约型基金</w:t>
            </w:r>
          </w:p>
        </w:tc>
        <w:tc>
          <w:tcPr>
            <w:tcW w:w="3877"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b/>
                <w:bCs/>
                <w:color w:val="auto"/>
                <w:sz w:val="21"/>
                <w:szCs w:val="21"/>
              </w:rPr>
              <w:t>公司型基金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8" w:hRule="atLeast"/>
          <w:tblCellSpacing w:w="0" w:type="dxa"/>
        </w:trPr>
        <w:tc>
          <w:tcPr>
            <w:tcW w:w="2668"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法律主体资格</w:t>
            </w:r>
          </w:p>
        </w:tc>
        <w:tc>
          <w:tcPr>
            <w:tcW w:w="3186"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不具有法人资格</w:t>
            </w:r>
          </w:p>
        </w:tc>
        <w:tc>
          <w:tcPr>
            <w:tcW w:w="3877"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具有法人资格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 w:hRule="atLeast"/>
          <w:tblCellSpacing w:w="0" w:type="dxa"/>
        </w:trPr>
        <w:tc>
          <w:tcPr>
            <w:tcW w:w="2668"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投资者的地位</w:t>
            </w:r>
          </w:p>
        </w:tc>
        <w:tc>
          <w:tcPr>
            <w:tcW w:w="3186"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投资者权力相对较小</w:t>
            </w:r>
          </w:p>
        </w:tc>
        <w:tc>
          <w:tcPr>
            <w:tcW w:w="3877"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投资者为股东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97" w:hRule="atLeast"/>
          <w:tblCellSpacing w:w="0" w:type="dxa"/>
        </w:trPr>
        <w:tc>
          <w:tcPr>
            <w:tcW w:w="2668"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基金组织方式和营运依据</w:t>
            </w:r>
          </w:p>
        </w:tc>
        <w:tc>
          <w:tcPr>
            <w:tcW w:w="3186"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用了信托法律制度，依据基金合同营运基金</w:t>
            </w:r>
          </w:p>
        </w:tc>
        <w:tc>
          <w:tcPr>
            <w:tcW w:w="3877" w:type="dxa"/>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借用了《公司法》规定的股份有限公司的组织方式，依据公司章程营运基金</w:t>
            </w:r>
          </w:p>
        </w:tc>
      </w:tr>
    </w:tbl>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考点八 </w:t>
      </w:r>
      <w:r>
        <w:rPr>
          <w:rFonts w:hint="eastAsia" w:ascii="宋体" w:hAnsi="宋体" w:eastAsia="宋体" w:cs="宋体"/>
          <w:lang w:eastAsia="zh-CN"/>
        </w:rPr>
        <w:t>封闭式基金与开放式基金</w:t>
      </w:r>
    </w:p>
    <w:p>
      <w:pPr>
        <w:rPr>
          <w:rFonts w:hint="eastAsia" w:ascii="宋体" w:hAnsi="宋体" w:eastAsia="宋体" w:cs="宋体"/>
          <w:lang w:eastAsia="zh-CN"/>
        </w:rPr>
      </w:pPr>
      <w:r>
        <w:rPr>
          <w:rFonts w:hint="eastAsia" w:ascii="宋体" w:hAnsi="宋体" w:eastAsia="宋体" w:cs="宋体"/>
          <w:lang w:val="en-US" w:eastAsia="zh-CN"/>
        </w:rPr>
        <w:t>1.</w:t>
      </w:r>
      <w:r>
        <w:rPr>
          <w:rFonts w:hint="eastAsia" w:ascii="宋体" w:hAnsi="宋体" w:eastAsia="宋体" w:cs="宋体"/>
          <w:lang w:eastAsia="zh-CN"/>
        </w:rPr>
        <w:t>依据运作方式的不同，可以将基金分为封闭式基金与开放式基金。</w:t>
      </w:r>
    </w:p>
    <w:p>
      <w:pPr>
        <w:rPr>
          <w:rFonts w:hint="eastAsia" w:ascii="宋体" w:hAnsi="宋体" w:eastAsia="宋体" w:cs="宋体"/>
          <w:lang w:eastAsia="zh-CN"/>
        </w:rPr>
      </w:pPr>
      <w:r>
        <w:rPr>
          <w:rFonts w:hint="eastAsia" w:ascii="宋体" w:hAnsi="宋体" w:eastAsia="宋体" w:cs="宋体"/>
          <w:lang w:eastAsia="zh-CN"/>
        </w:rPr>
        <w:t>封闭式基金是指基金份额在基金合同期限内固定不变，基金份额可以在依法设立的证券交易所交易，但基金份额持有人不得申请赎回的一种基金运作方式。</w:t>
      </w:r>
    </w:p>
    <w:p>
      <w:pPr>
        <w:rPr>
          <w:rFonts w:hint="eastAsia" w:ascii="宋体" w:hAnsi="宋体" w:eastAsia="宋体" w:cs="宋体"/>
          <w:lang w:eastAsia="zh-CN"/>
        </w:rPr>
      </w:pPr>
      <w:r>
        <w:rPr>
          <w:rFonts w:hint="eastAsia" w:ascii="宋体" w:hAnsi="宋体" w:eastAsia="宋体" w:cs="宋体"/>
          <w:lang w:eastAsia="zh-CN"/>
        </w:rPr>
        <w:t>开放式基金是指基金份额不固定，基金份额可以在基金合同约定的时间和场所进行申购或者赎回的一种基金运作方式。</w:t>
      </w:r>
    </w:p>
    <w:p>
      <w:pPr>
        <w:rPr>
          <w:rFonts w:hint="eastAsia" w:ascii="宋体" w:hAnsi="宋体" w:eastAsia="宋体" w:cs="宋体"/>
          <w:lang w:eastAsia="zh-CN"/>
        </w:rPr>
      </w:pPr>
      <w:r>
        <w:rPr>
          <w:rFonts w:hint="eastAsia" w:ascii="宋体" w:hAnsi="宋体" w:eastAsia="宋体" w:cs="宋体"/>
          <w:lang w:val="en-US" w:eastAsia="zh-CN"/>
        </w:rPr>
        <w:t>2.</w:t>
      </w:r>
      <w:r>
        <w:rPr>
          <w:rFonts w:hint="eastAsia" w:ascii="宋体" w:hAnsi="宋体" w:eastAsia="宋体" w:cs="宋体"/>
          <w:lang w:eastAsia="zh-CN"/>
        </w:rPr>
        <w:t>封闭式基金与开放式基金主要有以下不同：</w:t>
      </w:r>
    </w:p>
    <w:tbl>
      <w:tblPr>
        <w:tblStyle w:val="5"/>
        <w:tblW w:w="5778" w:type="pct"/>
        <w:tblCellSpacing w:w="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11"/>
        <w:gridCol w:w="3828"/>
        <w:gridCol w:w="4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7" w:hRule="atLeast"/>
          <w:tblCellSpacing w:w="0" w:type="dxa"/>
        </w:trPr>
        <w:tc>
          <w:tcPr>
            <w:tcW w:w="859"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p>
        </w:tc>
        <w:tc>
          <w:tcPr>
            <w:tcW w:w="192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b/>
                <w:bCs/>
                <w:color w:val="auto"/>
                <w:sz w:val="21"/>
                <w:szCs w:val="21"/>
              </w:rPr>
              <w:t>封闭式基金</w:t>
            </w:r>
          </w:p>
        </w:tc>
        <w:tc>
          <w:tcPr>
            <w:tcW w:w="221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b/>
                <w:bCs/>
                <w:color w:val="auto"/>
                <w:sz w:val="21"/>
                <w:szCs w:val="21"/>
              </w:rPr>
              <w:t>开放式基金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3" w:hRule="atLeast"/>
          <w:tblCellSpacing w:w="0" w:type="dxa"/>
        </w:trPr>
        <w:tc>
          <w:tcPr>
            <w:tcW w:w="859"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期限</w:t>
            </w:r>
          </w:p>
        </w:tc>
        <w:tc>
          <w:tcPr>
            <w:tcW w:w="192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固定的存续期</w:t>
            </w:r>
          </w:p>
        </w:tc>
        <w:tc>
          <w:tcPr>
            <w:tcW w:w="221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无特定存续期限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8" w:hRule="atLeast"/>
          <w:tblCellSpacing w:w="0" w:type="dxa"/>
        </w:trPr>
        <w:tc>
          <w:tcPr>
            <w:tcW w:w="859"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份额限制</w:t>
            </w:r>
          </w:p>
        </w:tc>
        <w:tc>
          <w:tcPr>
            <w:tcW w:w="192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份额是固定的</w:t>
            </w:r>
          </w:p>
        </w:tc>
        <w:tc>
          <w:tcPr>
            <w:tcW w:w="221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规模不固定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4" w:hRule="atLeast"/>
          <w:tblCellSpacing w:w="0" w:type="dxa"/>
        </w:trPr>
        <w:tc>
          <w:tcPr>
            <w:tcW w:w="859"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交易场所</w:t>
            </w:r>
          </w:p>
        </w:tc>
        <w:tc>
          <w:tcPr>
            <w:tcW w:w="192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证券交易所上市交易</w:t>
            </w:r>
          </w:p>
        </w:tc>
        <w:tc>
          <w:tcPr>
            <w:tcW w:w="221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基金管理人确定的时间和地点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8" w:hRule="atLeast"/>
          <w:tblCellSpacing w:w="0" w:type="dxa"/>
        </w:trPr>
        <w:tc>
          <w:tcPr>
            <w:tcW w:w="859"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价格形成方式</w:t>
            </w:r>
          </w:p>
        </w:tc>
        <w:tc>
          <w:tcPr>
            <w:tcW w:w="192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受二级市场供求关系的影响</w:t>
            </w:r>
          </w:p>
        </w:tc>
        <w:tc>
          <w:tcPr>
            <w:tcW w:w="221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以基金份额净值为基础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8" w:hRule="atLeast"/>
          <w:tblCellSpacing w:w="0" w:type="dxa"/>
        </w:trPr>
        <w:tc>
          <w:tcPr>
            <w:tcW w:w="859"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激励约束机制与投资策略</w:t>
            </w:r>
          </w:p>
        </w:tc>
        <w:tc>
          <w:tcPr>
            <w:tcW w:w="1922"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可以根据预先设定的投资计划进行长期投资和全额投资</w:t>
            </w:r>
          </w:p>
        </w:tc>
        <w:tc>
          <w:tcPr>
            <w:tcW w:w="2217" w:type="pct"/>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更好的激励约束机制</w:t>
            </w:r>
          </w:p>
        </w:tc>
      </w:tr>
    </w:tbl>
    <w:p>
      <w:pPr>
        <w:rPr>
          <w:rFonts w:hint="eastAsia" w:ascii="宋体" w:hAnsi="宋体" w:eastAsia="宋体" w:cs="宋体"/>
        </w:rPr>
      </w:pPr>
    </w:p>
    <w:p>
      <w:pPr>
        <w:jc w:val="center"/>
        <w:rPr>
          <w:rFonts w:hint="eastAsia" w:ascii="宋体" w:hAnsi="宋体" w:eastAsia="宋体" w:cs="宋体"/>
          <w:b/>
          <w:bCs/>
          <w:sz w:val="24"/>
          <w:szCs w:val="24"/>
        </w:rPr>
      </w:pPr>
      <w:r>
        <w:rPr>
          <w:rFonts w:hint="eastAsia" w:ascii="宋体" w:hAnsi="宋体" w:eastAsia="宋体" w:cs="宋体"/>
          <w:b/>
          <w:bCs/>
          <w:sz w:val="24"/>
          <w:szCs w:val="24"/>
        </w:rPr>
        <w:t>第三章</w:t>
      </w:r>
      <w:r>
        <w:rPr>
          <w:rFonts w:hint="eastAsia" w:ascii="宋体" w:hAnsi="宋体" w:eastAsia="宋体" w:cs="宋体"/>
          <w:b/>
          <w:bCs/>
          <w:sz w:val="24"/>
          <w:szCs w:val="24"/>
        </w:rPr>
        <w:t xml:space="preserve"> </w:t>
      </w:r>
      <w:r>
        <w:rPr>
          <w:rFonts w:hint="eastAsia" w:ascii="宋体" w:hAnsi="宋体" w:eastAsia="宋体" w:cs="宋体"/>
          <w:b/>
          <w:bCs/>
          <w:sz w:val="24"/>
          <w:szCs w:val="24"/>
        </w:rPr>
        <w:t>证券投资基金的类型</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考点一 </w:t>
      </w:r>
      <w:r>
        <w:rPr>
          <w:rFonts w:hint="eastAsia" w:ascii="宋体" w:hAnsi="宋体" w:eastAsia="宋体" w:cs="宋体"/>
          <w:lang w:eastAsia="zh-CN"/>
        </w:rPr>
        <w:t>根据投资对象分类</w:t>
      </w:r>
    </w:p>
    <w:p>
      <w:pPr>
        <w:rPr>
          <w:rFonts w:hint="eastAsia" w:ascii="宋体" w:hAnsi="宋体" w:eastAsia="宋体" w:cs="宋体"/>
          <w:lang w:eastAsia="zh-CN"/>
        </w:rPr>
      </w:pPr>
      <w:r>
        <w:rPr>
          <w:rFonts w:hint="eastAsia" w:ascii="宋体" w:hAnsi="宋体" w:eastAsia="宋体" w:cs="宋体"/>
          <w:lang w:eastAsia="zh-CN"/>
        </w:rPr>
        <w:t>1.股票基金：基金资产80%以上投资于股票的为股票基金</w:t>
      </w:r>
    </w:p>
    <w:p>
      <w:pPr>
        <w:rPr>
          <w:rFonts w:hint="eastAsia" w:ascii="宋体" w:hAnsi="宋体" w:eastAsia="宋体" w:cs="宋体"/>
          <w:lang w:eastAsia="zh-CN"/>
        </w:rPr>
      </w:pPr>
      <w:r>
        <w:rPr>
          <w:rFonts w:hint="eastAsia" w:ascii="宋体" w:hAnsi="宋体" w:eastAsia="宋体" w:cs="宋体"/>
          <w:lang w:eastAsia="zh-CN"/>
        </w:rPr>
        <w:t>2.债券基金：基金资产80%以上投资于债券的为债券基金</w:t>
      </w:r>
    </w:p>
    <w:p>
      <w:pPr>
        <w:rPr>
          <w:rFonts w:hint="eastAsia" w:ascii="宋体" w:hAnsi="宋体" w:eastAsia="宋体" w:cs="宋体"/>
          <w:lang w:eastAsia="zh-CN"/>
        </w:rPr>
      </w:pPr>
      <w:r>
        <w:rPr>
          <w:rFonts w:hint="eastAsia" w:ascii="宋体" w:hAnsi="宋体" w:eastAsia="宋体" w:cs="宋体"/>
          <w:lang w:eastAsia="zh-CN"/>
        </w:rPr>
        <w:t>3.货币市场基金：仅投资于货币市场工具的为货币市场基金</w:t>
      </w:r>
    </w:p>
    <w:p>
      <w:pPr>
        <w:rPr>
          <w:rFonts w:hint="eastAsia" w:ascii="宋体" w:hAnsi="宋体" w:eastAsia="宋体" w:cs="宋体"/>
          <w:lang w:eastAsia="zh-CN"/>
        </w:rPr>
      </w:pPr>
      <w:r>
        <w:rPr>
          <w:rFonts w:hint="eastAsia" w:ascii="宋体" w:hAnsi="宋体" w:eastAsia="宋体" w:cs="宋体"/>
          <w:lang w:eastAsia="zh-CN"/>
        </w:rPr>
        <w:t>4.混合基金：投资于股票、债券和货币市场工具，但股票投资和债券投资的比例不符合股票基金、债券基金规定的为混合基金</w:t>
      </w:r>
    </w:p>
    <w:p>
      <w:pPr>
        <w:rPr>
          <w:rFonts w:hint="eastAsia" w:ascii="宋体" w:hAnsi="宋体" w:eastAsia="宋体" w:cs="宋体"/>
          <w:lang w:eastAsia="zh-CN"/>
        </w:rPr>
      </w:pPr>
      <w:r>
        <w:rPr>
          <w:rFonts w:hint="eastAsia" w:ascii="宋体" w:hAnsi="宋体" w:eastAsia="宋体" w:cs="宋体"/>
          <w:lang w:eastAsia="zh-CN"/>
        </w:rPr>
        <w:t>5.基金中的基金：80%以上的基金资产投资于其他基金份额的是基金中基金</w:t>
      </w:r>
    </w:p>
    <w:p>
      <w:pPr>
        <w:rPr>
          <w:rFonts w:hint="eastAsia" w:ascii="宋体" w:hAnsi="宋体" w:eastAsia="宋体" w:cs="宋体"/>
          <w:lang w:eastAsia="zh-CN"/>
        </w:rPr>
      </w:pPr>
      <w:r>
        <w:rPr>
          <w:rFonts w:hint="eastAsia" w:ascii="宋体" w:hAnsi="宋体" w:eastAsia="宋体" w:cs="宋体"/>
          <w:lang w:eastAsia="zh-CN"/>
        </w:rPr>
        <w:t>6.另类投资基金：商品基金、非上市股权基金、房地产基金</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 xml:space="preserve">考点二 </w:t>
      </w:r>
      <w:r>
        <w:rPr>
          <w:rFonts w:hint="eastAsia" w:ascii="宋体" w:hAnsi="宋体" w:eastAsia="宋体" w:cs="宋体"/>
          <w:lang w:eastAsia="zh-CN"/>
        </w:rPr>
        <w:t>其他分类</w:t>
      </w:r>
    </w:p>
    <w:p>
      <w:pPr>
        <w:rPr>
          <w:rFonts w:hint="eastAsia" w:ascii="宋体" w:hAnsi="宋体" w:eastAsia="宋体" w:cs="宋体"/>
          <w:lang w:eastAsia="zh-CN"/>
        </w:rPr>
      </w:pPr>
      <w:r>
        <w:rPr>
          <w:rFonts w:hint="eastAsia" w:ascii="宋体" w:hAnsi="宋体" w:eastAsia="宋体" w:cs="宋体"/>
          <w:lang w:val="en-US" w:eastAsia="zh-CN"/>
        </w:rPr>
        <w:t>1.</w:t>
      </w:r>
      <w:r>
        <w:rPr>
          <w:rFonts w:hint="eastAsia" w:ascii="宋体" w:hAnsi="宋体" w:eastAsia="宋体" w:cs="宋体"/>
          <w:lang w:eastAsia="zh-CN"/>
        </w:rPr>
        <w:t>根据投资目标分类</w:t>
      </w:r>
    </w:p>
    <w:p>
      <w:pPr>
        <w:rPr>
          <w:rFonts w:hint="eastAsia" w:ascii="宋体" w:hAnsi="宋体" w:eastAsia="宋体" w:cs="宋体"/>
          <w:lang w:eastAsia="zh-CN"/>
        </w:rPr>
      </w:pPr>
      <w:r>
        <w:rPr>
          <w:rFonts w:hint="eastAsia" w:ascii="宋体" w:hAnsi="宋体" w:eastAsia="宋体" w:cs="宋体"/>
          <w:lang w:eastAsia="zh-CN"/>
        </w:rPr>
        <w:t>根据投资目标可以将基金分为增长型（成长型）基金、收入型基金和平衡型基金。</w:t>
      </w:r>
    </w:p>
    <w:tbl>
      <w:tblPr>
        <w:tblStyle w:val="5"/>
        <w:tblW w:w="4998" w:type="pct"/>
        <w:tblCellSpacing w:w="0" w:type="dxa"/>
        <w:tblInd w:w="0" w:type="dxa"/>
        <w:shd w:val="clear" w:color="auto" w:fill="auto"/>
        <w:tblLayout w:type="autofit"/>
        <w:tblCellMar>
          <w:top w:w="0" w:type="dxa"/>
          <w:left w:w="0" w:type="dxa"/>
          <w:bottom w:w="0" w:type="dxa"/>
          <w:right w:w="0" w:type="dxa"/>
        </w:tblCellMar>
      </w:tblPr>
      <w:tblGrid>
        <w:gridCol w:w="2274"/>
        <w:gridCol w:w="3378"/>
        <w:gridCol w:w="2979"/>
      </w:tblGrid>
      <w:tr>
        <w:tblPrEx>
          <w:shd w:val="clear" w:color="auto" w:fill="auto"/>
          <w:tblCellMar>
            <w:top w:w="0" w:type="dxa"/>
            <w:left w:w="0" w:type="dxa"/>
            <w:bottom w:w="0" w:type="dxa"/>
            <w:right w:w="0" w:type="dxa"/>
          </w:tblCellMar>
        </w:tblPrEx>
        <w:trPr>
          <w:trHeight w:val="420" w:hRule="atLeast"/>
          <w:tblCellSpacing w:w="0" w:type="dxa"/>
        </w:trPr>
        <w:tc>
          <w:tcPr>
            <w:tcW w:w="1317"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增长（成长）型</w:t>
            </w:r>
          </w:p>
        </w:tc>
        <w:tc>
          <w:tcPr>
            <w:tcW w:w="195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追求资本增值</w:t>
            </w:r>
          </w:p>
        </w:tc>
        <w:tc>
          <w:tcPr>
            <w:tcW w:w="1725"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风险大、收益高</w:t>
            </w:r>
          </w:p>
        </w:tc>
      </w:tr>
      <w:tr>
        <w:tblPrEx>
          <w:shd w:val="clear" w:color="auto" w:fill="auto"/>
          <w:tblCellMar>
            <w:top w:w="0" w:type="dxa"/>
            <w:left w:w="0" w:type="dxa"/>
            <w:bottom w:w="0" w:type="dxa"/>
            <w:right w:w="0" w:type="dxa"/>
          </w:tblCellMar>
        </w:tblPrEx>
        <w:trPr>
          <w:trHeight w:val="655" w:hRule="atLeast"/>
          <w:tblCellSpacing w:w="0" w:type="dxa"/>
        </w:trPr>
        <w:tc>
          <w:tcPr>
            <w:tcW w:w="1317"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平衡性</w:t>
            </w:r>
          </w:p>
          <w:p>
            <w:pPr>
              <w:pStyle w:val="4"/>
              <w:keepNext w:val="0"/>
              <w:keepLines w:val="0"/>
              <w:widowControl/>
              <w:suppressLineNumbers w:val="0"/>
              <w:rPr>
                <w:rFonts w:hint="eastAsia" w:ascii="宋体" w:hAnsi="宋体" w:eastAsia="宋体" w:cs="宋体"/>
                <w:color w:val="000000"/>
                <w:sz w:val="21"/>
                <w:szCs w:val="21"/>
              </w:rPr>
            </w:pPr>
          </w:p>
        </w:tc>
        <w:tc>
          <w:tcPr>
            <w:tcW w:w="195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既注重资本增值又注重当期收益</w:t>
            </w:r>
          </w:p>
        </w:tc>
        <w:tc>
          <w:tcPr>
            <w:tcW w:w="1725"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风险收益介于增长型和收入型之间</w:t>
            </w:r>
          </w:p>
        </w:tc>
      </w:tr>
      <w:tr>
        <w:tblPrEx>
          <w:tblCellMar>
            <w:top w:w="0" w:type="dxa"/>
            <w:left w:w="0" w:type="dxa"/>
            <w:bottom w:w="0" w:type="dxa"/>
            <w:right w:w="0" w:type="dxa"/>
          </w:tblCellMar>
        </w:tblPrEx>
        <w:trPr>
          <w:trHeight w:val="199" w:hRule="atLeast"/>
          <w:tblCellSpacing w:w="0" w:type="dxa"/>
        </w:trPr>
        <w:tc>
          <w:tcPr>
            <w:tcW w:w="1317"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收入型</w:t>
            </w:r>
          </w:p>
        </w:tc>
        <w:tc>
          <w:tcPr>
            <w:tcW w:w="195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追求稳定的经常性收入</w:t>
            </w:r>
          </w:p>
        </w:tc>
        <w:tc>
          <w:tcPr>
            <w:tcW w:w="1725"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风险小、受益较低</w:t>
            </w:r>
          </w:p>
        </w:tc>
      </w:tr>
    </w:tbl>
    <w:p>
      <w:pPr>
        <w:rPr>
          <w:rFonts w:hint="eastAsia" w:ascii="宋体" w:hAnsi="宋体" w:eastAsia="宋体" w:cs="宋体"/>
          <w:lang w:eastAsia="zh-CN"/>
        </w:rPr>
      </w:pPr>
      <w:r>
        <w:rPr>
          <w:rFonts w:hint="eastAsia" w:ascii="宋体" w:hAnsi="宋体" w:eastAsia="宋体" w:cs="宋体"/>
          <w:lang w:val="en-US" w:eastAsia="zh-CN"/>
        </w:rPr>
        <w:t>2.</w:t>
      </w:r>
      <w:r>
        <w:rPr>
          <w:rFonts w:hint="eastAsia" w:ascii="宋体" w:hAnsi="宋体" w:eastAsia="宋体" w:cs="宋体"/>
          <w:lang w:eastAsia="zh-CN"/>
        </w:rPr>
        <w:t>根据投资理念分类</w:t>
      </w:r>
    </w:p>
    <w:p>
      <w:pPr>
        <w:rPr>
          <w:rFonts w:hint="eastAsia" w:ascii="宋体" w:hAnsi="宋体" w:eastAsia="宋体" w:cs="宋体"/>
          <w:lang w:eastAsia="zh-CN"/>
        </w:rPr>
      </w:pPr>
      <w:r>
        <w:rPr>
          <w:rFonts w:hint="eastAsia" w:ascii="宋体" w:hAnsi="宋体" w:eastAsia="宋体" w:cs="宋体"/>
          <w:lang w:eastAsia="zh-CN"/>
        </w:rPr>
        <w:t>根据投资理念可以将基金分为主动型基金与被动型（指数）基金。</w:t>
      </w:r>
    </w:p>
    <w:p>
      <w:pPr>
        <w:rPr>
          <w:rFonts w:hint="eastAsia" w:ascii="宋体" w:hAnsi="宋体" w:eastAsia="宋体" w:cs="宋体"/>
          <w:lang w:eastAsia="zh-CN"/>
        </w:rPr>
      </w:pPr>
      <w:r>
        <w:rPr>
          <w:rFonts w:hint="eastAsia" w:ascii="宋体" w:hAnsi="宋体" w:eastAsia="宋体" w:cs="宋体"/>
          <w:lang w:val="en-US" w:eastAsia="zh-CN"/>
        </w:rPr>
        <w:t>3.</w:t>
      </w:r>
      <w:r>
        <w:rPr>
          <w:rFonts w:hint="eastAsia" w:ascii="宋体" w:hAnsi="宋体" w:eastAsia="宋体" w:cs="宋体"/>
          <w:lang w:eastAsia="zh-CN"/>
        </w:rPr>
        <w:t>根据基金的资金来源和用途分类</w:t>
      </w:r>
    </w:p>
    <w:p>
      <w:pPr>
        <w:rPr>
          <w:rFonts w:hint="eastAsia" w:ascii="宋体" w:hAnsi="宋体" w:eastAsia="宋体" w:cs="宋体"/>
          <w:lang w:eastAsia="zh-CN"/>
        </w:rPr>
      </w:pPr>
      <w:r>
        <w:rPr>
          <w:rFonts w:hint="eastAsia" w:ascii="宋体" w:hAnsi="宋体" w:eastAsia="宋体" w:cs="宋体"/>
          <w:lang w:eastAsia="zh-CN"/>
        </w:rPr>
        <w:t xml:space="preserve">    根据资金的资金来源和用途可以将基金分为在岸基金、离岸基金和国际基金。</w:t>
      </w:r>
    </w:p>
    <w:p>
      <w:pPr>
        <w:rPr>
          <w:rFonts w:hint="eastAsia" w:ascii="宋体" w:hAnsi="宋体" w:eastAsia="宋体" w:cs="宋体"/>
          <w:lang w:eastAsia="zh-CN"/>
        </w:rPr>
      </w:pPr>
      <w:r>
        <w:rPr>
          <w:rFonts w:hint="eastAsia" w:ascii="宋体" w:hAnsi="宋体" w:eastAsia="宋体" w:cs="宋体"/>
          <w:lang w:val="en-US" w:eastAsia="zh-CN"/>
        </w:rPr>
        <w:t>4.</w:t>
      </w:r>
      <w:r>
        <w:rPr>
          <w:rFonts w:hint="eastAsia" w:ascii="宋体" w:hAnsi="宋体" w:eastAsia="宋体" w:cs="宋体"/>
          <w:lang w:eastAsia="zh-CN"/>
        </w:rPr>
        <w:t>特殊类型基金</w:t>
      </w:r>
    </w:p>
    <w:p>
      <w:pPr>
        <w:rPr>
          <w:rFonts w:hint="eastAsia" w:ascii="宋体" w:hAnsi="宋体" w:eastAsia="宋体" w:cs="宋体"/>
          <w:lang w:eastAsia="zh-CN"/>
        </w:rPr>
      </w:pPr>
      <w:r>
        <w:rPr>
          <w:rFonts w:hint="eastAsia" w:ascii="宋体" w:hAnsi="宋体" w:eastAsia="宋体" w:cs="宋体"/>
          <w:lang w:eastAsia="zh-CN"/>
        </w:rPr>
        <w:t xml:space="preserve">    避险策略基金（原称保本基金）、上市开放式基金（LOF）、分级基金</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考点三 </w:t>
      </w:r>
      <w:r>
        <w:rPr>
          <w:rFonts w:hint="eastAsia" w:ascii="宋体" w:hAnsi="宋体" w:eastAsia="宋体" w:cs="宋体"/>
          <w:lang w:eastAsia="zh-CN"/>
        </w:rPr>
        <w:t>股票基金与股票的区别</w:t>
      </w:r>
    </w:p>
    <w:tbl>
      <w:tblPr>
        <w:tblStyle w:val="5"/>
        <w:tblW w:w="4999" w:type="pct"/>
        <w:tblCellSpacing w:w="0" w:type="dxa"/>
        <w:tblInd w:w="0" w:type="dxa"/>
        <w:shd w:val="clear" w:color="auto" w:fill="auto"/>
        <w:tblLayout w:type="autofit"/>
        <w:tblCellMar>
          <w:top w:w="0" w:type="dxa"/>
          <w:left w:w="0" w:type="dxa"/>
          <w:bottom w:w="0" w:type="dxa"/>
          <w:right w:w="0" w:type="dxa"/>
        </w:tblCellMar>
      </w:tblPr>
      <w:tblGrid>
        <w:gridCol w:w="2877"/>
        <w:gridCol w:w="2877"/>
        <w:gridCol w:w="2878"/>
      </w:tblGrid>
      <w:tr>
        <w:tblPrEx>
          <w:shd w:val="clear" w:color="auto" w:fill="auto"/>
          <w:tblCellMar>
            <w:top w:w="0" w:type="dxa"/>
            <w:left w:w="0" w:type="dxa"/>
            <w:bottom w:w="0" w:type="dxa"/>
            <w:right w:w="0" w:type="dxa"/>
          </w:tblCellMar>
        </w:tblPrEx>
        <w:trPr>
          <w:trHeight w:val="90" w:hRule="atLeast"/>
          <w:tblCellSpacing w:w="0" w:type="dxa"/>
        </w:trPr>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b/>
                <w:bCs/>
                <w:color w:val="000000"/>
                <w:sz w:val="21"/>
                <w:szCs w:val="21"/>
              </w:rPr>
              <w:t>股票基金</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b/>
                <w:bCs/>
                <w:color w:val="000000"/>
                <w:sz w:val="21"/>
                <w:szCs w:val="21"/>
              </w:rPr>
              <w:t>股票</w:t>
            </w:r>
          </w:p>
        </w:tc>
      </w:tr>
      <w:tr>
        <w:tblPrEx>
          <w:shd w:val="clear" w:color="auto" w:fill="auto"/>
          <w:tblCellMar>
            <w:top w:w="0" w:type="dxa"/>
            <w:left w:w="0" w:type="dxa"/>
            <w:bottom w:w="0" w:type="dxa"/>
            <w:right w:w="0" w:type="dxa"/>
          </w:tblCellMar>
        </w:tblPrEx>
        <w:trPr>
          <w:trHeight w:val="308" w:hRule="atLeast"/>
          <w:tblCellSpacing w:w="0" w:type="dxa"/>
        </w:trPr>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价格</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一个交易日只有一个</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始终处于变动</w:t>
            </w:r>
          </w:p>
        </w:tc>
      </w:tr>
      <w:tr>
        <w:tblPrEx>
          <w:shd w:val="clear" w:color="auto" w:fill="auto"/>
          <w:tblCellMar>
            <w:top w:w="0" w:type="dxa"/>
            <w:left w:w="0" w:type="dxa"/>
            <w:bottom w:w="0" w:type="dxa"/>
            <w:right w:w="0" w:type="dxa"/>
          </w:tblCellMar>
        </w:tblPrEx>
        <w:trPr>
          <w:trHeight w:val="378" w:hRule="atLeast"/>
          <w:tblCellSpacing w:w="0" w:type="dxa"/>
        </w:trPr>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价格的影响</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不受到影响</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受影响</w:t>
            </w:r>
            <w:bookmarkStart w:id="1" w:name="_GoBack"/>
            <w:bookmarkEnd w:id="1"/>
          </w:p>
        </w:tc>
      </w:tr>
      <w:tr>
        <w:tblPrEx>
          <w:tblCellMar>
            <w:top w:w="0" w:type="dxa"/>
            <w:left w:w="0" w:type="dxa"/>
            <w:bottom w:w="0" w:type="dxa"/>
            <w:right w:w="0" w:type="dxa"/>
          </w:tblCellMar>
        </w:tblPrEx>
        <w:trPr>
          <w:trHeight w:val="332" w:hRule="atLeast"/>
          <w:tblCellSpacing w:w="0" w:type="dxa"/>
        </w:trPr>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价格的判断</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无意义</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可判断</w:t>
            </w:r>
          </w:p>
        </w:tc>
      </w:tr>
      <w:tr>
        <w:tblPrEx>
          <w:tblCellMar>
            <w:top w:w="0" w:type="dxa"/>
            <w:left w:w="0" w:type="dxa"/>
            <w:bottom w:w="0" w:type="dxa"/>
            <w:right w:w="0" w:type="dxa"/>
          </w:tblCellMar>
        </w:tblPrEx>
        <w:trPr>
          <w:trHeight w:val="90" w:hRule="atLeast"/>
          <w:tblCellSpacing w:w="0" w:type="dxa"/>
        </w:trPr>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风险</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较低</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较高</w:t>
            </w:r>
          </w:p>
        </w:tc>
      </w:tr>
    </w:tbl>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考点四 </w:t>
      </w:r>
      <w:r>
        <w:rPr>
          <w:rFonts w:hint="eastAsia" w:ascii="宋体" w:hAnsi="宋体" w:eastAsia="宋体" w:cs="宋体"/>
          <w:lang w:eastAsia="zh-CN"/>
        </w:rPr>
        <w:t>债券基金与债券的区别</w:t>
      </w:r>
    </w:p>
    <w:tbl>
      <w:tblPr>
        <w:tblStyle w:val="5"/>
        <w:tblW w:w="4999" w:type="pct"/>
        <w:tblCellSpacing w:w="0" w:type="dxa"/>
        <w:tblInd w:w="0" w:type="dxa"/>
        <w:tblLayout w:type="autofit"/>
        <w:tblCellMar>
          <w:top w:w="0" w:type="dxa"/>
          <w:left w:w="0" w:type="dxa"/>
          <w:bottom w:w="0" w:type="dxa"/>
          <w:right w:w="0" w:type="dxa"/>
        </w:tblCellMar>
      </w:tblPr>
      <w:tblGrid>
        <w:gridCol w:w="2877"/>
        <w:gridCol w:w="2877"/>
        <w:gridCol w:w="2878"/>
      </w:tblGrid>
      <w:tr>
        <w:tblPrEx>
          <w:tblCellMar>
            <w:top w:w="0" w:type="dxa"/>
            <w:left w:w="0" w:type="dxa"/>
            <w:bottom w:w="0" w:type="dxa"/>
            <w:right w:w="0" w:type="dxa"/>
          </w:tblCellMar>
        </w:tblPrEx>
        <w:trPr>
          <w:trHeight w:val="0" w:hRule="atLeast"/>
          <w:tblCellSpacing w:w="0" w:type="dxa"/>
        </w:trPr>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p>
        </w:tc>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b/>
                <w:bCs/>
                <w:color w:val="000000"/>
                <w:sz w:val="21"/>
                <w:szCs w:val="21"/>
              </w:rPr>
              <w:t>债券基金</w:t>
            </w:r>
          </w:p>
        </w:tc>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b/>
                <w:bCs/>
                <w:color w:val="000000"/>
                <w:sz w:val="21"/>
                <w:szCs w:val="21"/>
              </w:rPr>
              <w:t>债券</w:t>
            </w:r>
          </w:p>
        </w:tc>
      </w:tr>
      <w:tr>
        <w:tblPrEx>
          <w:tblCellMar>
            <w:top w:w="0" w:type="dxa"/>
            <w:left w:w="0" w:type="dxa"/>
            <w:bottom w:w="0" w:type="dxa"/>
            <w:right w:w="0" w:type="dxa"/>
          </w:tblCellMar>
        </w:tblPrEx>
        <w:trPr>
          <w:trHeight w:val="332" w:hRule="atLeast"/>
          <w:tblCellSpacing w:w="0" w:type="dxa"/>
        </w:trPr>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收益</w:t>
            </w:r>
          </w:p>
        </w:tc>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不固定</w:t>
            </w:r>
          </w:p>
        </w:tc>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固定</w:t>
            </w:r>
          </w:p>
        </w:tc>
      </w:tr>
      <w:tr>
        <w:tblPrEx>
          <w:tblCellMar>
            <w:top w:w="0" w:type="dxa"/>
            <w:left w:w="0" w:type="dxa"/>
            <w:bottom w:w="0" w:type="dxa"/>
            <w:right w:w="0" w:type="dxa"/>
          </w:tblCellMar>
        </w:tblPrEx>
        <w:trPr>
          <w:trHeight w:val="424" w:hRule="atLeast"/>
          <w:tblCellSpacing w:w="0" w:type="dxa"/>
        </w:trPr>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到期日</w:t>
            </w:r>
          </w:p>
        </w:tc>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平均到期日</w:t>
            </w:r>
          </w:p>
        </w:tc>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确定的到期日</w:t>
            </w:r>
          </w:p>
        </w:tc>
      </w:tr>
      <w:tr>
        <w:tblPrEx>
          <w:tblCellMar>
            <w:top w:w="0" w:type="dxa"/>
            <w:left w:w="0" w:type="dxa"/>
            <w:bottom w:w="0" w:type="dxa"/>
            <w:right w:w="0" w:type="dxa"/>
          </w:tblCellMar>
        </w:tblPrEx>
        <w:trPr>
          <w:trHeight w:val="366" w:hRule="atLeast"/>
          <w:tblCellSpacing w:w="0" w:type="dxa"/>
        </w:trPr>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收益率</w:t>
            </w:r>
          </w:p>
        </w:tc>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更难预测</w:t>
            </w:r>
          </w:p>
        </w:tc>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p>
        </w:tc>
      </w:tr>
      <w:tr>
        <w:tblPrEx>
          <w:tblCellMar>
            <w:top w:w="0" w:type="dxa"/>
            <w:left w:w="0" w:type="dxa"/>
            <w:bottom w:w="0" w:type="dxa"/>
            <w:right w:w="0" w:type="dxa"/>
          </w:tblCellMar>
        </w:tblPrEx>
        <w:trPr>
          <w:trHeight w:val="435" w:hRule="atLeast"/>
          <w:tblCellSpacing w:w="0" w:type="dxa"/>
        </w:trPr>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风险不同</w:t>
            </w:r>
          </w:p>
        </w:tc>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比较分散</w:t>
            </w:r>
          </w:p>
        </w:tc>
        <w:tc>
          <w:tcPr>
            <w:tcW w:w="1666" w:type="pct"/>
            <w:tcBorders>
              <w:top w:val="single" w:color="000000" w:sz="8" w:space="0"/>
              <w:left w:val="single" w:color="000000" w:sz="8" w:space="0"/>
              <w:bottom w:val="single" w:color="000000" w:sz="8" w:space="0"/>
              <w:right w:val="single" w:color="000000" w:sz="8" w:space="0"/>
            </w:tcBorders>
            <w:shd w:val="clear" w:color="auto" w:fill="FFFFFF"/>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比较集中</w:t>
            </w:r>
          </w:p>
        </w:tc>
      </w:tr>
    </w:tbl>
    <w:p>
      <w:pPr>
        <w:rPr>
          <w:rFonts w:hint="eastAsia" w:ascii="宋体" w:hAnsi="宋体" w:eastAsia="宋体" w:cs="宋体"/>
          <w:color w:val="003399"/>
        </w:rPr>
      </w:pP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考点五</w:t>
      </w:r>
      <w:r>
        <w:rPr>
          <w:rFonts w:hint="eastAsia" w:ascii="宋体" w:hAnsi="宋体" w:eastAsia="宋体" w:cs="宋体"/>
        </w:rPr>
        <w:t xml:space="preserve"> </w:t>
      </w:r>
      <w:r>
        <w:rPr>
          <w:rFonts w:hint="eastAsia" w:ascii="宋体" w:hAnsi="宋体" w:eastAsia="宋体" w:cs="宋体"/>
          <w:lang w:eastAsia="zh-CN"/>
        </w:rPr>
        <w:t>货币市场基金</w:t>
      </w:r>
    </w:p>
    <w:p>
      <w:pPr>
        <w:rPr>
          <w:rFonts w:hint="eastAsia" w:ascii="宋体" w:hAnsi="宋体" w:eastAsia="宋体" w:cs="宋体"/>
          <w:lang w:eastAsia="zh-CN"/>
        </w:rPr>
      </w:pPr>
      <w:r>
        <w:rPr>
          <w:rFonts w:hint="eastAsia" w:ascii="宋体" w:hAnsi="宋体" w:eastAsia="宋体" w:cs="宋体"/>
          <w:lang w:eastAsia="zh-CN"/>
        </w:rPr>
        <w:t>（一）货币市场基金的概述</w:t>
      </w:r>
    </w:p>
    <w:p>
      <w:pPr>
        <w:rPr>
          <w:rFonts w:hint="eastAsia" w:ascii="宋体" w:hAnsi="宋体" w:eastAsia="宋体" w:cs="宋体"/>
          <w:lang w:eastAsia="zh-CN"/>
        </w:rPr>
      </w:pPr>
      <w:r>
        <w:rPr>
          <w:rFonts w:hint="eastAsia" w:ascii="宋体" w:hAnsi="宋体" w:eastAsia="宋体" w:cs="宋体"/>
          <w:lang w:eastAsia="zh-CN"/>
        </w:rPr>
        <w:t>货币市场基金是厌恶风险、对资金流动性和安全性要求较高的投资者进行短期投资和现金管理的理想工具，或是暂时存放现金的理想场所。与其他类型基金相比，货币市场基金具有风险低、流动性好的特点。</w:t>
      </w:r>
    </w:p>
    <w:p>
      <w:pPr>
        <w:rPr>
          <w:rFonts w:hint="eastAsia" w:ascii="宋体" w:hAnsi="宋体" w:eastAsia="宋体" w:cs="宋体"/>
          <w:lang w:eastAsia="zh-CN"/>
        </w:rPr>
      </w:pPr>
      <w:r>
        <w:rPr>
          <w:rFonts w:hint="eastAsia" w:ascii="宋体" w:hAnsi="宋体" w:eastAsia="宋体" w:cs="宋体"/>
          <w:lang w:eastAsia="zh-CN"/>
        </w:rPr>
        <w:t>货币市场的进入门槛通常很高（相对于股票市场而言），货币市场由于属于场外交易，所以投资门槛极低。</w:t>
      </w:r>
    </w:p>
    <w:p>
      <w:pPr>
        <w:rPr>
          <w:rFonts w:hint="eastAsia" w:ascii="宋体" w:hAnsi="宋体" w:eastAsia="宋体" w:cs="宋体"/>
          <w:lang w:eastAsia="zh-CN"/>
        </w:rPr>
      </w:pPr>
      <w:r>
        <w:rPr>
          <w:rFonts w:hint="eastAsia" w:ascii="宋体" w:hAnsi="宋体" w:eastAsia="宋体" w:cs="宋体"/>
          <w:lang w:eastAsia="zh-CN"/>
        </w:rPr>
        <w:t>货币市场基金的投资门槛极低，因此货币市场基金为普通投资者进入货币市场提供了重要通道。</w:t>
      </w:r>
    </w:p>
    <w:p>
      <w:pPr>
        <w:rPr>
          <w:rFonts w:hint="eastAsia" w:ascii="宋体" w:hAnsi="宋体" w:eastAsia="宋体" w:cs="宋体"/>
          <w:lang w:eastAsia="zh-CN"/>
        </w:rPr>
      </w:pPr>
      <w:r>
        <w:rPr>
          <w:rFonts w:hint="eastAsia" w:ascii="宋体" w:hAnsi="宋体" w:eastAsia="宋体" w:cs="宋体"/>
          <w:lang w:eastAsia="zh-CN"/>
        </w:rPr>
        <w:t>（二）货币市场基金的投资</w:t>
      </w:r>
    </w:p>
    <w:p>
      <w:pPr>
        <w:rPr>
          <w:rFonts w:hint="eastAsia" w:ascii="宋体" w:hAnsi="宋体" w:eastAsia="宋体" w:cs="宋体"/>
          <w:lang w:eastAsia="zh-CN"/>
        </w:rPr>
      </w:pPr>
      <w:r>
        <w:rPr>
          <w:rFonts w:hint="eastAsia" w:ascii="宋体" w:hAnsi="宋体" w:eastAsia="宋体" w:cs="宋体"/>
          <w:lang w:eastAsia="zh-CN"/>
        </w:rPr>
        <w:t>1.货币市场基金投资对象</w:t>
      </w:r>
    </w:p>
    <w:p>
      <w:pPr>
        <w:rPr>
          <w:rFonts w:hint="eastAsia" w:ascii="宋体" w:hAnsi="宋体" w:eastAsia="宋体" w:cs="宋体"/>
          <w:lang w:eastAsia="zh-CN"/>
        </w:rPr>
      </w:pPr>
      <w:r>
        <w:rPr>
          <w:rFonts w:hint="eastAsia" w:ascii="宋体" w:hAnsi="宋体" w:eastAsia="宋体" w:cs="宋体"/>
          <w:lang w:eastAsia="zh-CN"/>
        </w:rPr>
        <w:t>（1）现金；</w:t>
      </w:r>
    </w:p>
    <w:p>
      <w:pPr>
        <w:rPr>
          <w:rFonts w:hint="eastAsia" w:ascii="宋体" w:hAnsi="宋体" w:eastAsia="宋体" w:cs="宋体"/>
          <w:lang w:eastAsia="zh-CN"/>
        </w:rPr>
      </w:pPr>
      <w:r>
        <w:rPr>
          <w:rFonts w:hint="eastAsia" w:ascii="宋体" w:hAnsi="宋体" w:eastAsia="宋体" w:cs="宋体"/>
          <w:lang w:eastAsia="zh-CN"/>
        </w:rPr>
        <w:t>（2）期限在1年以内（含1年）的银行存款、债券回购、中央银行票据、同业存单；</w:t>
      </w:r>
    </w:p>
    <w:p>
      <w:pPr>
        <w:rPr>
          <w:rFonts w:hint="eastAsia" w:ascii="宋体" w:hAnsi="宋体" w:eastAsia="宋体" w:cs="宋体"/>
          <w:lang w:eastAsia="zh-CN"/>
        </w:rPr>
      </w:pPr>
      <w:r>
        <w:rPr>
          <w:rFonts w:hint="eastAsia" w:ascii="宋体" w:hAnsi="宋体" w:eastAsia="宋体" w:cs="宋体"/>
          <w:lang w:eastAsia="zh-CN"/>
        </w:rPr>
        <w:t>（3）剩余期限在397天以内（含397天）的债券、非金融企业债务融资工具、资产支持证券；</w:t>
      </w:r>
    </w:p>
    <w:p>
      <w:pPr>
        <w:rPr>
          <w:rFonts w:hint="eastAsia" w:ascii="宋体" w:hAnsi="宋体" w:eastAsia="宋体" w:cs="宋体"/>
          <w:lang w:eastAsia="zh-CN"/>
        </w:rPr>
      </w:pPr>
      <w:r>
        <w:rPr>
          <w:rFonts w:hint="eastAsia" w:ascii="宋体" w:hAnsi="宋体" w:eastAsia="宋体" w:cs="宋体"/>
          <w:lang w:eastAsia="zh-CN"/>
        </w:rPr>
        <w:t>（4）中国证监会、中国人民银行认可的其他具有良好流动性的货币市场工具。</w:t>
      </w:r>
    </w:p>
    <w:p>
      <w:pPr>
        <w:rPr>
          <w:rFonts w:hint="eastAsia" w:ascii="宋体" w:hAnsi="宋体" w:eastAsia="宋体" w:cs="宋体"/>
          <w:lang w:eastAsia="zh-CN"/>
        </w:rPr>
      </w:pPr>
      <w:r>
        <w:rPr>
          <w:rFonts w:hint="eastAsia" w:ascii="宋体" w:hAnsi="宋体" w:eastAsia="宋体" w:cs="宋体"/>
          <w:lang w:eastAsia="zh-CN"/>
        </w:rPr>
        <w:t>【期限短、风险低、流动性强】</w:t>
      </w:r>
    </w:p>
    <w:p>
      <w:pPr>
        <w:rPr>
          <w:rFonts w:hint="eastAsia" w:ascii="宋体" w:hAnsi="宋体" w:eastAsia="宋体" w:cs="宋体"/>
          <w:lang w:eastAsia="zh-CN"/>
        </w:rPr>
      </w:pPr>
      <w:r>
        <w:rPr>
          <w:rFonts w:hint="eastAsia" w:ascii="宋体" w:hAnsi="宋体" w:eastAsia="宋体" w:cs="宋体"/>
          <w:lang w:eastAsia="zh-CN"/>
        </w:rPr>
        <w:t>2．货币市场不得投资于</w:t>
      </w:r>
    </w:p>
    <w:p>
      <w:pPr>
        <w:rPr>
          <w:rFonts w:hint="eastAsia" w:ascii="宋体" w:hAnsi="宋体" w:eastAsia="宋体" w:cs="宋体"/>
          <w:lang w:eastAsia="zh-CN"/>
        </w:rPr>
      </w:pPr>
      <w:r>
        <w:rPr>
          <w:rFonts w:hint="eastAsia" w:ascii="宋体" w:hAnsi="宋体" w:eastAsia="宋体" w:cs="宋体"/>
          <w:lang w:eastAsia="zh-CN"/>
        </w:rPr>
        <w:t>（1）股票；</w:t>
      </w:r>
    </w:p>
    <w:p>
      <w:pPr>
        <w:rPr>
          <w:rFonts w:hint="eastAsia" w:ascii="宋体" w:hAnsi="宋体" w:eastAsia="宋体" w:cs="宋体"/>
          <w:lang w:eastAsia="zh-CN"/>
        </w:rPr>
      </w:pPr>
      <w:r>
        <w:rPr>
          <w:rFonts w:hint="eastAsia" w:ascii="宋体" w:hAnsi="宋体" w:eastAsia="宋体" w:cs="宋体"/>
          <w:lang w:eastAsia="zh-CN"/>
        </w:rPr>
        <w:t>（2）可转换债券、可交换债券；</w:t>
      </w:r>
    </w:p>
    <w:p>
      <w:pPr>
        <w:rPr>
          <w:rFonts w:hint="eastAsia" w:ascii="宋体" w:hAnsi="宋体" w:eastAsia="宋体" w:cs="宋体"/>
          <w:lang w:eastAsia="zh-CN"/>
        </w:rPr>
      </w:pPr>
      <w:r>
        <w:rPr>
          <w:rFonts w:hint="eastAsia" w:ascii="宋体" w:hAnsi="宋体" w:eastAsia="宋体" w:cs="宋体"/>
          <w:lang w:eastAsia="zh-CN"/>
        </w:rPr>
        <w:t>（3）以定期存款利率为基准利率的浮动利率债券，已进入最后一个利率调整期的除外；</w:t>
      </w:r>
    </w:p>
    <w:p>
      <w:pPr>
        <w:rPr>
          <w:rFonts w:hint="eastAsia" w:ascii="宋体" w:hAnsi="宋体" w:eastAsia="宋体" w:cs="宋体"/>
          <w:lang w:eastAsia="zh-CN"/>
        </w:rPr>
      </w:pPr>
      <w:r>
        <w:rPr>
          <w:rFonts w:hint="eastAsia" w:ascii="宋体" w:hAnsi="宋体" w:eastAsia="宋体" w:cs="宋体"/>
          <w:lang w:eastAsia="zh-CN"/>
        </w:rPr>
        <w:t>（4）信用等级在AA+以下的债券与非金融企业债务融资工具；</w:t>
      </w:r>
    </w:p>
    <w:p>
      <w:pPr>
        <w:rPr>
          <w:rFonts w:hint="eastAsia" w:ascii="宋体" w:hAnsi="宋体" w:eastAsia="宋体" w:cs="宋体"/>
          <w:lang w:eastAsia="zh-CN"/>
        </w:rPr>
      </w:pPr>
      <w:r>
        <w:rPr>
          <w:rFonts w:hint="eastAsia" w:ascii="宋体" w:hAnsi="宋体" w:eastAsia="宋体" w:cs="宋体"/>
          <w:lang w:eastAsia="zh-CN"/>
        </w:rPr>
        <w:t>（5）中国证监会、中国人民银行禁止投资的其他金融工具。</w:t>
      </w:r>
    </w:p>
    <w:p>
      <w:pPr>
        <w:rPr>
          <w:rFonts w:hint="eastAsia" w:ascii="宋体" w:hAnsi="宋体" w:eastAsia="宋体" w:cs="宋体"/>
          <w:lang w:eastAsia="zh-CN"/>
        </w:rPr>
      </w:pPr>
      <w:r>
        <w:rPr>
          <w:rFonts w:hint="eastAsia" w:ascii="宋体" w:hAnsi="宋体" w:eastAsia="宋体" w:cs="宋体"/>
          <w:lang w:eastAsia="zh-CN"/>
        </w:rPr>
        <w:t>【期限长、风险高、流动性弱】</w:t>
      </w:r>
    </w:p>
    <w:p>
      <w:pPr>
        <w:rPr>
          <w:rFonts w:hint="eastAsia" w:ascii="宋体" w:hAnsi="宋体" w:eastAsia="宋体" w:cs="宋体"/>
          <w:color w:val="003399"/>
        </w:rPr>
      </w:pP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考点六 </w:t>
      </w:r>
      <w:r>
        <w:rPr>
          <w:rFonts w:hint="eastAsia" w:ascii="宋体" w:hAnsi="宋体" w:eastAsia="宋体" w:cs="宋体"/>
          <w:lang w:eastAsia="zh-CN"/>
        </w:rPr>
        <w:t>混合基金</w:t>
      </w:r>
    </w:p>
    <w:p>
      <w:pPr>
        <w:rPr>
          <w:rFonts w:hint="eastAsia" w:ascii="宋体" w:hAnsi="宋体" w:eastAsia="宋体" w:cs="宋体"/>
          <w:lang w:eastAsia="zh-CN"/>
        </w:rPr>
      </w:pPr>
      <w:r>
        <w:rPr>
          <w:rFonts w:hint="eastAsia" w:ascii="宋体" w:hAnsi="宋体" w:eastAsia="宋体" w:cs="宋体"/>
          <w:lang w:eastAsia="zh-CN"/>
        </w:rPr>
        <w:t>（一）混合基金的概述</w:t>
      </w:r>
    </w:p>
    <w:p>
      <w:pPr>
        <w:rPr>
          <w:rFonts w:hint="eastAsia" w:ascii="宋体" w:hAnsi="宋体" w:eastAsia="宋体" w:cs="宋体"/>
          <w:lang w:eastAsia="zh-CN"/>
        </w:rPr>
      </w:pPr>
      <w:r>
        <w:rPr>
          <w:rFonts w:hint="eastAsia" w:ascii="宋体" w:hAnsi="宋体" w:eastAsia="宋体" w:cs="宋体"/>
          <w:lang w:eastAsia="zh-CN"/>
        </w:rPr>
        <w:t>混合基金的风险低于股票基金，预期收益则要高于债券基金；适合较为保守的投资者；若购买多只混合基金，投资者在各大类资产上的配置可能变得模糊不清。</w:t>
      </w:r>
    </w:p>
    <w:p>
      <w:pPr>
        <w:rPr>
          <w:rFonts w:hint="eastAsia" w:ascii="宋体" w:hAnsi="宋体" w:eastAsia="宋体" w:cs="宋体"/>
          <w:lang w:eastAsia="zh-CN"/>
        </w:rPr>
      </w:pPr>
      <w:r>
        <w:rPr>
          <w:rFonts w:hint="eastAsia" w:ascii="宋体" w:hAnsi="宋体" w:eastAsia="宋体" w:cs="宋体"/>
          <w:lang w:eastAsia="zh-CN"/>
        </w:rPr>
        <w:t>（二）混合基金的分类</w:t>
      </w:r>
    </w:p>
    <w:p>
      <w:pPr>
        <w:rPr>
          <w:rFonts w:hint="eastAsia" w:ascii="宋体" w:hAnsi="宋体" w:eastAsia="宋体" w:cs="宋体"/>
          <w:lang w:eastAsia="zh-CN"/>
        </w:rPr>
      </w:pPr>
      <w:r>
        <w:rPr>
          <w:rFonts w:hint="eastAsia" w:ascii="宋体" w:hAnsi="宋体" w:eastAsia="宋体" w:cs="宋体"/>
          <w:lang w:eastAsia="zh-CN"/>
        </w:rPr>
        <w:t>1.偏股型基金【股票占比&gt;60％】</w:t>
      </w:r>
    </w:p>
    <w:p>
      <w:pPr>
        <w:rPr>
          <w:rFonts w:hint="eastAsia" w:ascii="宋体" w:hAnsi="宋体" w:eastAsia="宋体" w:cs="宋体"/>
          <w:lang w:eastAsia="zh-CN"/>
        </w:rPr>
      </w:pPr>
      <w:r>
        <w:rPr>
          <w:rFonts w:hint="eastAsia" w:ascii="宋体" w:hAnsi="宋体" w:eastAsia="宋体" w:cs="宋体"/>
          <w:lang w:eastAsia="zh-CN"/>
        </w:rPr>
        <w:t>2.偏债型基金【债券投资≥60％】</w:t>
      </w:r>
    </w:p>
    <w:p>
      <w:pPr>
        <w:rPr>
          <w:rFonts w:hint="eastAsia" w:ascii="宋体" w:hAnsi="宋体" w:eastAsia="宋体" w:cs="宋体"/>
          <w:lang w:eastAsia="zh-CN"/>
        </w:rPr>
      </w:pPr>
      <w:r>
        <w:rPr>
          <w:rFonts w:hint="eastAsia" w:ascii="宋体" w:hAnsi="宋体" w:eastAsia="宋体" w:cs="宋体"/>
          <w:lang w:eastAsia="zh-CN"/>
        </w:rPr>
        <w:t>3.股债平衡型基金【股票与债券的配置比例较为均衡】</w:t>
      </w:r>
    </w:p>
    <w:p>
      <w:pPr>
        <w:rPr>
          <w:rFonts w:hint="eastAsia" w:ascii="宋体" w:hAnsi="宋体" w:eastAsia="宋体" w:cs="宋体"/>
          <w:color w:val="003399"/>
        </w:rPr>
      </w:pPr>
      <w:r>
        <w:rPr>
          <w:rFonts w:hint="eastAsia" w:ascii="宋体" w:hAnsi="宋体" w:eastAsia="宋体" w:cs="宋体"/>
          <w:lang w:eastAsia="zh-CN"/>
        </w:rPr>
        <w:t>4.灵活配置型基金【在股票、债券上的配置比例则会根据市场状况进行调整，有时股票的比例较高，有时债券的比例较高】</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考点七 </w:t>
      </w:r>
      <w:r>
        <w:rPr>
          <w:rFonts w:hint="eastAsia" w:ascii="宋体" w:hAnsi="宋体" w:eastAsia="宋体" w:cs="宋体"/>
          <w:lang w:eastAsia="zh-CN"/>
        </w:rPr>
        <w:t>避险策略基金</w:t>
      </w:r>
    </w:p>
    <w:p>
      <w:pPr>
        <w:rPr>
          <w:rFonts w:hint="eastAsia" w:ascii="宋体" w:hAnsi="宋体" w:eastAsia="宋体" w:cs="宋体"/>
          <w:lang w:eastAsia="zh-CN"/>
        </w:rPr>
      </w:pPr>
      <w:r>
        <w:rPr>
          <w:rFonts w:hint="eastAsia" w:ascii="宋体" w:hAnsi="宋体" w:eastAsia="宋体" w:cs="宋体"/>
          <w:lang w:eastAsia="zh-CN"/>
        </w:rPr>
        <w:t>（一）避险策略基金的概述</w:t>
      </w:r>
    </w:p>
    <w:p>
      <w:pPr>
        <w:rPr>
          <w:rFonts w:hint="eastAsia" w:ascii="宋体" w:hAnsi="宋体" w:eastAsia="宋体" w:cs="宋体"/>
          <w:lang w:eastAsia="zh-CN"/>
        </w:rPr>
      </w:pPr>
      <w:r>
        <w:rPr>
          <w:rFonts w:hint="eastAsia" w:ascii="宋体" w:hAnsi="宋体" w:eastAsia="宋体" w:cs="宋体"/>
          <w:lang w:eastAsia="zh-CN"/>
        </w:rPr>
        <w:t>保本基金是避险策略基金的前身，最大特点是其招募说明书中明确引入保本保障机制，以保证基金份额持有人在保本周期到期时，可以获得投资本金的保证。</w:t>
      </w:r>
    </w:p>
    <w:p>
      <w:pPr>
        <w:rPr>
          <w:rFonts w:hint="eastAsia" w:ascii="宋体" w:hAnsi="宋体" w:eastAsia="宋体" w:cs="宋体"/>
          <w:lang w:eastAsia="zh-CN"/>
        </w:rPr>
      </w:pPr>
      <w:r>
        <w:rPr>
          <w:rFonts w:hint="eastAsia" w:ascii="宋体" w:hAnsi="宋体" w:eastAsia="宋体" w:cs="宋体"/>
          <w:lang w:eastAsia="zh-CN"/>
        </w:rPr>
        <w:t>避险策略基金的投资目标是在锁定风险的同时力争有机会获得潜在的高回报，本质上是混合型基金。</w:t>
      </w:r>
    </w:p>
    <w:p>
      <w:pPr>
        <w:rPr>
          <w:rFonts w:hint="eastAsia" w:ascii="宋体" w:hAnsi="宋体" w:eastAsia="宋体" w:cs="宋体"/>
          <w:lang w:eastAsia="zh-CN"/>
        </w:rPr>
      </w:pPr>
      <w:r>
        <w:rPr>
          <w:rFonts w:hint="eastAsia" w:ascii="宋体" w:hAnsi="宋体" w:eastAsia="宋体" w:cs="宋体"/>
          <w:lang w:eastAsia="zh-CN"/>
        </w:rPr>
        <w:t>（二）避险策略基金的类型</w:t>
      </w:r>
    </w:p>
    <w:p>
      <w:pPr>
        <w:rPr>
          <w:rFonts w:hint="eastAsia" w:ascii="宋体" w:hAnsi="宋体" w:eastAsia="宋体" w:cs="宋体"/>
          <w:lang w:eastAsia="zh-CN"/>
        </w:rPr>
      </w:pPr>
      <w:r>
        <w:rPr>
          <w:rFonts w:hint="eastAsia" w:ascii="宋体" w:hAnsi="宋体" w:eastAsia="宋体" w:cs="宋体"/>
          <w:lang w:eastAsia="zh-CN"/>
        </w:rPr>
        <w:t>境外的避险策略基金形式多样。其中，基金提供的保证有本金保证、收益保证和红利保证，具体比例由基金公司自行规定。一般本金保证比例为100%，但也有低于100%或高于100%的情况。至于是否提供收益保证和红利保证，各基金情况各不相同（但我国目前的避险策略基金并没有保证收益的类型)。</w:t>
      </w:r>
    </w:p>
    <w:p>
      <w:pPr>
        <w:rPr>
          <w:rFonts w:hint="eastAsia" w:ascii="宋体" w:hAnsi="宋体" w:eastAsia="宋体" w:cs="宋体"/>
          <w:lang w:eastAsia="zh-CN"/>
        </w:rPr>
      </w:pPr>
      <w:r>
        <w:rPr>
          <w:rFonts w:hint="eastAsia" w:ascii="宋体" w:hAnsi="宋体" w:eastAsia="宋体" w:cs="宋体"/>
          <w:lang w:eastAsia="zh-CN"/>
        </w:rPr>
        <w:t>（三）避险策略基金的分析</w:t>
      </w:r>
    </w:p>
    <w:p>
      <w:pPr>
        <w:rPr>
          <w:rFonts w:hint="eastAsia" w:ascii="宋体" w:hAnsi="宋体" w:eastAsia="宋体" w:cs="宋体"/>
          <w:lang w:eastAsia="zh-CN"/>
        </w:rPr>
      </w:pPr>
      <w:r>
        <w:rPr>
          <w:rFonts w:hint="eastAsia" w:ascii="宋体" w:hAnsi="宋体" w:eastAsia="宋体" w:cs="宋体"/>
          <w:lang w:eastAsia="zh-CN"/>
        </w:rPr>
        <w:t>封闭周期越长，投资者承担的机会成本越高。</w:t>
      </w:r>
    </w:p>
    <w:p>
      <w:pPr>
        <w:rPr>
          <w:rFonts w:hint="eastAsia" w:ascii="宋体" w:hAnsi="宋体" w:eastAsia="宋体" w:cs="宋体"/>
          <w:lang w:eastAsia="zh-CN"/>
        </w:rPr>
      </w:pPr>
      <w:r>
        <w:rPr>
          <w:rFonts w:hint="eastAsia" w:ascii="宋体" w:hAnsi="宋体" w:eastAsia="宋体" w:cs="宋体"/>
          <w:lang w:eastAsia="zh-CN"/>
        </w:rPr>
        <w:t>保本比例：到期时投资者可获得的本金保障比率。常见的保本比例为80％~100％。其他条件相同时，保本比例较低的基金投资于风险性资产的比例较高。</w:t>
      </w:r>
    </w:p>
    <w:p>
      <w:pPr>
        <w:rPr>
          <w:rFonts w:hint="eastAsia" w:ascii="宋体" w:hAnsi="宋体" w:eastAsia="宋体" w:cs="宋体"/>
          <w:lang w:eastAsia="zh-CN"/>
        </w:rPr>
      </w:pPr>
      <w:r>
        <w:rPr>
          <w:rFonts w:hint="eastAsia" w:ascii="宋体" w:hAnsi="宋体" w:eastAsia="宋体" w:cs="宋体"/>
          <w:lang w:eastAsia="zh-CN"/>
        </w:rPr>
        <w:t>对提前赎回基金的投资者收取较高的赎回费</w:t>
      </w:r>
    </w:p>
    <w:p>
      <w:pPr>
        <w:rPr>
          <w:rFonts w:hint="eastAsia" w:ascii="宋体" w:hAnsi="宋体" w:eastAsia="宋体" w:cs="宋体"/>
          <w:lang w:eastAsia="zh-CN"/>
        </w:rPr>
      </w:pPr>
      <w:r>
        <w:rPr>
          <w:rFonts w:hint="eastAsia" w:ascii="宋体" w:hAnsi="宋体" w:eastAsia="宋体" w:cs="宋体"/>
          <w:lang w:eastAsia="zh-CN"/>
        </w:rPr>
        <w:t>安全垫是风险资产投资可承受的最高损失限额</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八</w:t>
      </w:r>
      <w:r>
        <w:rPr>
          <w:rFonts w:hint="eastAsia" w:ascii="宋体" w:hAnsi="宋体" w:eastAsia="宋体" w:cs="宋体"/>
          <w:lang w:eastAsia="zh-CN"/>
        </w:rPr>
        <w:t>ETF与LOF的比较</w:t>
      </w:r>
    </w:p>
    <w:tbl>
      <w:tblPr>
        <w:tblStyle w:val="5"/>
        <w:tblW w:w="4998" w:type="pct"/>
        <w:tblCellSpacing w:w="0" w:type="dxa"/>
        <w:tblInd w:w="5" w:type="dxa"/>
        <w:shd w:val="clear" w:color="auto" w:fill="auto"/>
        <w:tblLayout w:type="autofit"/>
        <w:tblCellMar>
          <w:top w:w="0" w:type="dxa"/>
          <w:left w:w="0" w:type="dxa"/>
          <w:bottom w:w="0" w:type="dxa"/>
          <w:right w:w="0" w:type="dxa"/>
        </w:tblCellMar>
      </w:tblPr>
      <w:tblGrid>
        <w:gridCol w:w="2557"/>
        <w:gridCol w:w="3196"/>
        <w:gridCol w:w="2878"/>
      </w:tblGrid>
      <w:tr>
        <w:tblPrEx>
          <w:shd w:val="clear" w:color="auto" w:fill="auto"/>
          <w:tblCellMar>
            <w:top w:w="0" w:type="dxa"/>
            <w:left w:w="0" w:type="dxa"/>
            <w:bottom w:w="0" w:type="dxa"/>
            <w:right w:w="0" w:type="dxa"/>
          </w:tblCellMar>
        </w:tblPrEx>
        <w:trPr>
          <w:trHeight w:val="90" w:hRule="atLeast"/>
          <w:tblCellSpacing w:w="0" w:type="dxa"/>
        </w:trPr>
        <w:tc>
          <w:tcPr>
            <w:tcW w:w="148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p>
        </w:tc>
        <w:tc>
          <w:tcPr>
            <w:tcW w:w="185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b/>
                <w:bCs/>
                <w:color w:val="000000"/>
                <w:sz w:val="21"/>
                <w:szCs w:val="21"/>
              </w:rPr>
              <w:t>ETF</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b/>
                <w:bCs/>
                <w:color w:val="000000"/>
                <w:sz w:val="21"/>
                <w:szCs w:val="21"/>
              </w:rPr>
              <w:t>LOF</w:t>
            </w:r>
          </w:p>
        </w:tc>
      </w:tr>
      <w:tr>
        <w:tblPrEx>
          <w:tblCellMar>
            <w:top w:w="0" w:type="dxa"/>
            <w:left w:w="0" w:type="dxa"/>
            <w:bottom w:w="0" w:type="dxa"/>
            <w:right w:w="0" w:type="dxa"/>
          </w:tblCellMar>
        </w:tblPrEx>
        <w:trPr>
          <w:trHeight w:val="300" w:hRule="atLeast"/>
          <w:tblCellSpacing w:w="0" w:type="dxa"/>
        </w:trPr>
        <w:tc>
          <w:tcPr>
            <w:tcW w:w="148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申购、赎回标的</w:t>
            </w:r>
          </w:p>
        </w:tc>
        <w:tc>
          <w:tcPr>
            <w:tcW w:w="185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基金份额与“一篮子”股票交易</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基金份额与现金交易</w:t>
            </w:r>
          </w:p>
        </w:tc>
      </w:tr>
      <w:tr>
        <w:tblPrEx>
          <w:tblCellMar>
            <w:top w:w="0" w:type="dxa"/>
            <w:left w:w="0" w:type="dxa"/>
            <w:bottom w:w="0" w:type="dxa"/>
            <w:right w:w="0" w:type="dxa"/>
          </w:tblCellMar>
        </w:tblPrEx>
        <w:trPr>
          <w:trHeight w:val="404" w:hRule="atLeast"/>
          <w:tblCellSpacing w:w="0" w:type="dxa"/>
        </w:trPr>
        <w:tc>
          <w:tcPr>
            <w:tcW w:w="148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申购、赎回场所</w:t>
            </w:r>
          </w:p>
        </w:tc>
        <w:tc>
          <w:tcPr>
            <w:tcW w:w="185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交易所</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代销网点或交易所</w:t>
            </w:r>
          </w:p>
        </w:tc>
      </w:tr>
      <w:tr>
        <w:tblPrEx>
          <w:tblCellMar>
            <w:top w:w="0" w:type="dxa"/>
            <w:left w:w="0" w:type="dxa"/>
            <w:bottom w:w="0" w:type="dxa"/>
            <w:right w:w="0" w:type="dxa"/>
          </w:tblCellMar>
        </w:tblPrEx>
        <w:trPr>
          <w:trHeight w:val="565" w:hRule="atLeast"/>
          <w:tblCellSpacing w:w="0" w:type="dxa"/>
        </w:trPr>
        <w:tc>
          <w:tcPr>
            <w:tcW w:w="148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申购、赎回限制</w:t>
            </w:r>
          </w:p>
        </w:tc>
        <w:tc>
          <w:tcPr>
            <w:tcW w:w="185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要求的数额较大（50万份以上）才能参与一级市场</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无特别要求</w:t>
            </w:r>
          </w:p>
        </w:tc>
      </w:tr>
      <w:tr>
        <w:tblPrEx>
          <w:tblCellMar>
            <w:top w:w="0" w:type="dxa"/>
            <w:left w:w="0" w:type="dxa"/>
            <w:bottom w:w="0" w:type="dxa"/>
            <w:right w:w="0" w:type="dxa"/>
          </w:tblCellMar>
        </w:tblPrEx>
        <w:trPr>
          <w:trHeight w:val="335" w:hRule="atLeast"/>
          <w:tblCellSpacing w:w="0" w:type="dxa"/>
        </w:trPr>
        <w:tc>
          <w:tcPr>
            <w:tcW w:w="148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基金投资策略</w:t>
            </w:r>
          </w:p>
        </w:tc>
        <w:tc>
          <w:tcPr>
            <w:tcW w:w="185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完全被动式</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可主动也可被动</w:t>
            </w:r>
          </w:p>
        </w:tc>
      </w:tr>
      <w:tr>
        <w:tblPrEx>
          <w:tblCellMar>
            <w:top w:w="0" w:type="dxa"/>
            <w:left w:w="0" w:type="dxa"/>
            <w:bottom w:w="0" w:type="dxa"/>
            <w:right w:w="0" w:type="dxa"/>
          </w:tblCellMar>
        </w:tblPrEx>
        <w:trPr>
          <w:trHeight w:val="90" w:hRule="atLeast"/>
          <w:tblCellSpacing w:w="0" w:type="dxa"/>
        </w:trPr>
        <w:tc>
          <w:tcPr>
            <w:tcW w:w="148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二级市场净值报价频率</w:t>
            </w:r>
          </w:p>
        </w:tc>
        <w:tc>
          <w:tcPr>
            <w:tcW w:w="1851"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每15秒提供一个基金参考净值报价</w:t>
            </w:r>
          </w:p>
        </w:tc>
        <w:tc>
          <w:tcPr>
            <w:tcW w:w="1666"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rPr>
            </w:pPr>
            <w:r>
              <w:rPr>
                <w:rFonts w:hint="eastAsia" w:ascii="宋体" w:hAnsi="宋体" w:eastAsia="宋体" w:cs="宋体"/>
                <w:color w:val="000000"/>
                <w:sz w:val="21"/>
                <w:szCs w:val="21"/>
              </w:rPr>
              <w:t>一天提供一次或者几次基金参考净值报价</w:t>
            </w:r>
          </w:p>
        </w:tc>
      </w:tr>
    </w:tbl>
    <w:p>
      <w:pPr>
        <w:rPr>
          <w:rFonts w:hint="eastAsia" w:ascii="宋体" w:hAnsi="宋体" w:eastAsia="宋体" w:cs="宋体"/>
          <w:b/>
          <w:bCs/>
          <w:color w:val="4472C4" w:themeColor="accent1"/>
          <w:lang w:eastAsia="zh-CN"/>
          <w14:textFill>
            <w14:solidFill>
              <w14:schemeClr w14:val="accent1"/>
            </w14:solidFill>
          </w14:textFill>
        </w:rPr>
      </w:pPr>
    </w:p>
    <w:p>
      <w:pPr>
        <w:rPr>
          <w:rFonts w:hint="eastAsia" w:ascii="宋体" w:hAnsi="宋体" w:eastAsia="宋体" w:cs="宋体"/>
          <w:b/>
          <w:bCs/>
          <w:color w:val="4472C4" w:themeColor="accent1"/>
          <w:lang w:eastAsia="zh-CN"/>
          <w14:textFill>
            <w14:solidFill>
              <w14:schemeClr w14:val="accent1"/>
            </w14:solidFill>
          </w14:textFill>
        </w:rPr>
      </w:pPr>
    </w:p>
    <w:p>
      <w:pPr>
        <w:rPr>
          <w:rFonts w:hint="eastAsia" w:ascii="宋体" w:hAnsi="宋体" w:eastAsia="宋体" w:cs="宋体"/>
          <w:highlight w:val="none"/>
          <w:lang w:eastAsia="zh-CN"/>
        </w:rPr>
      </w:pPr>
      <w:r>
        <w:rPr>
          <w:rFonts w:hint="eastAsia" w:ascii="宋体" w:hAnsi="宋体" w:eastAsia="宋体" w:cs="宋体"/>
          <w:b/>
          <w:bCs/>
          <w:color w:val="4472C4" w:themeColor="accent1"/>
          <w:highlight w:val="none"/>
          <w14:textFill>
            <w14:solidFill>
              <w14:schemeClr w14:val="accent1"/>
            </w14:solidFill>
          </w14:textFill>
        </w:rPr>
        <w:t>考点</w:t>
      </w:r>
      <w:r>
        <w:rPr>
          <w:rFonts w:hint="eastAsia" w:ascii="宋体" w:hAnsi="宋体" w:eastAsia="宋体" w:cs="宋体"/>
          <w:b/>
          <w:bCs/>
          <w:color w:val="4472C4" w:themeColor="accent1"/>
          <w:highlight w:val="none"/>
          <w:lang w:eastAsia="zh-CN"/>
          <w14:textFill>
            <w14:solidFill>
              <w14:schemeClr w14:val="accent1"/>
            </w14:solidFill>
          </w14:textFill>
        </w:rPr>
        <w:t>九</w:t>
      </w:r>
      <w:r>
        <w:rPr>
          <w:rFonts w:hint="eastAsia" w:ascii="宋体" w:hAnsi="宋体" w:eastAsia="宋体" w:cs="宋体"/>
          <w:highlight w:val="none"/>
          <w:lang w:eastAsia="zh-CN"/>
        </w:rPr>
        <w:t>ETF联接基金与ETF的比较</w:t>
      </w:r>
    </w:p>
    <w:tbl>
      <w:tblPr>
        <w:tblStyle w:val="5"/>
        <w:tblW w:w="5291" w:type="pct"/>
        <w:tblCellSpacing w:w="0" w:type="dxa"/>
        <w:tblInd w:w="0" w:type="dxa"/>
        <w:shd w:val="clear" w:color="auto" w:fill="auto"/>
        <w:tblLayout w:type="autofit"/>
        <w:tblCellMar>
          <w:top w:w="0" w:type="dxa"/>
          <w:left w:w="0" w:type="dxa"/>
          <w:bottom w:w="0" w:type="dxa"/>
          <w:right w:w="0" w:type="dxa"/>
        </w:tblCellMar>
      </w:tblPr>
      <w:tblGrid>
        <w:gridCol w:w="1179"/>
        <w:gridCol w:w="1851"/>
        <w:gridCol w:w="3021"/>
        <w:gridCol w:w="3085"/>
      </w:tblGrid>
      <w:tr>
        <w:tblPrEx>
          <w:shd w:val="clear" w:color="auto" w:fill="auto"/>
          <w:tblCellMar>
            <w:top w:w="0" w:type="dxa"/>
            <w:left w:w="0" w:type="dxa"/>
            <w:bottom w:w="0" w:type="dxa"/>
            <w:right w:w="0" w:type="dxa"/>
          </w:tblCellMar>
        </w:tblPrEx>
        <w:trPr>
          <w:trHeight w:val="491" w:hRule="atLeast"/>
          <w:tblCellSpacing w:w="0" w:type="dxa"/>
        </w:trPr>
        <w:tc>
          <w:tcPr>
            <w:tcW w:w="645"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p>
        </w:tc>
        <w:tc>
          <w:tcPr>
            <w:tcW w:w="101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p>
        </w:tc>
        <w:tc>
          <w:tcPr>
            <w:tcW w:w="165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b/>
                <w:bCs/>
                <w:color w:val="000000"/>
                <w:sz w:val="21"/>
                <w:szCs w:val="21"/>
                <w:highlight w:val="none"/>
              </w:rPr>
              <w:t>ETF联接基金</w:t>
            </w:r>
          </w:p>
        </w:tc>
        <w:tc>
          <w:tcPr>
            <w:tcW w:w="1688"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b/>
                <w:bCs/>
                <w:color w:val="000000"/>
                <w:sz w:val="21"/>
                <w:szCs w:val="21"/>
                <w:highlight w:val="none"/>
              </w:rPr>
              <w:t>ETF</w:t>
            </w:r>
          </w:p>
        </w:tc>
      </w:tr>
      <w:tr>
        <w:tblPrEx>
          <w:shd w:val="clear" w:color="auto" w:fill="auto"/>
          <w:tblCellMar>
            <w:top w:w="0" w:type="dxa"/>
            <w:left w:w="0" w:type="dxa"/>
            <w:bottom w:w="0" w:type="dxa"/>
            <w:right w:w="0" w:type="dxa"/>
          </w:tblCellMar>
        </w:tblPrEx>
        <w:trPr>
          <w:trHeight w:val="438" w:hRule="atLeast"/>
          <w:tblCellSpacing w:w="0" w:type="dxa"/>
        </w:trPr>
        <w:tc>
          <w:tcPr>
            <w:tcW w:w="645" w:type="pct"/>
            <w:vMerge w:val="restar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相同点</w:t>
            </w:r>
          </w:p>
        </w:tc>
        <w:tc>
          <w:tcPr>
            <w:tcW w:w="101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业绩</w:t>
            </w:r>
          </w:p>
        </w:tc>
        <w:tc>
          <w:tcPr>
            <w:tcW w:w="3341" w:type="pct"/>
            <w:gridSpan w:val="2"/>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密切跟踪标的指数表现</w:t>
            </w:r>
          </w:p>
        </w:tc>
      </w:tr>
      <w:tr>
        <w:tblPrEx>
          <w:shd w:val="clear" w:color="auto" w:fill="auto"/>
          <w:tblCellMar>
            <w:top w:w="0" w:type="dxa"/>
            <w:left w:w="0" w:type="dxa"/>
            <w:bottom w:w="0" w:type="dxa"/>
            <w:right w:w="0" w:type="dxa"/>
          </w:tblCellMar>
        </w:tblPrEx>
        <w:trPr>
          <w:trHeight w:val="368" w:hRule="atLeast"/>
          <w:tblCellSpacing w:w="0" w:type="dxa"/>
        </w:trPr>
        <w:tc>
          <w:tcPr>
            <w:tcW w:w="645" w:type="pct"/>
            <w:vMerge w:val="continue"/>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rPr>
                <w:rFonts w:hint="eastAsia" w:ascii="宋体" w:hAnsi="宋体" w:eastAsia="宋体" w:cs="宋体"/>
                <w:color w:val="000000"/>
                <w:sz w:val="21"/>
                <w:szCs w:val="21"/>
                <w:highlight w:val="none"/>
              </w:rPr>
            </w:pPr>
          </w:p>
        </w:tc>
        <w:tc>
          <w:tcPr>
            <w:tcW w:w="101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运作方式</w:t>
            </w:r>
          </w:p>
        </w:tc>
        <w:tc>
          <w:tcPr>
            <w:tcW w:w="3341" w:type="pct"/>
            <w:gridSpan w:val="2"/>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开放式</w:t>
            </w:r>
          </w:p>
        </w:tc>
      </w:tr>
      <w:tr>
        <w:tblPrEx>
          <w:tblCellMar>
            <w:top w:w="0" w:type="dxa"/>
            <w:left w:w="0" w:type="dxa"/>
            <w:bottom w:w="0" w:type="dxa"/>
            <w:right w:w="0" w:type="dxa"/>
          </w:tblCellMar>
        </w:tblPrEx>
        <w:trPr>
          <w:trHeight w:val="504" w:hRule="atLeast"/>
          <w:tblCellSpacing w:w="0" w:type="dxa"/>
        </w:trPr>
        <w:tc>
          <w:tcPr>
            <w:tcW w:w="645" w:type="pct"/>
            <w:vMerge w:val="restar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p>
          <w:p>
            <w:pPr>
              <w:pStyle w:val="4"/>
              <w:keepNext w:val="0"/>
              <w:keepLines w:val="0"/>
              <w:widowControl/>
              <w:suppressLineNumbers w:val="0"/>
              <w:rPr>
                <w:rFonts w:hint="eastAsia" w:ascii="宋体" w:hAnsi="宋体" w:eastAsia="宋体" w:cs="宋体"/>
                <w:color w:val="000000"/>
                <w:sz w:val="21"/>
                <w:szCs w:val="21"/>
                <w:highlight w:val="none"/>
              </w:rPr>
            </w:pPr>
          </w:p>
          <w:p>
            <w:pPr>
              <w:pStyle w:val="4"/>
              <w:keepNext w:val="0"/>
              <w:keepLines w:val="0"/>
              <w:widowControl/>
              <w:suppressLineNumbers w:val="0"/>
              <w:rPr>
                <w:rFonts w:hint="eastAsia" w:ascii="宋体" w:hAnsi="宋体" w:eastAsia="宋体" w:cs="宋体"/>
                <w:color w:val="000000"/>
                <w:sz w:val="21"/>
                <w:szCs w:val="21"/>
                <w:highlight w:val="none"/>
              </w:rPr>
            </w:pPr>
          </w:p>
          <w:p>
            <w:pPr>
              <w:pStyle w:val="4"/>
              <w:keepNext w:val="0"/>
              <w:keepLines w:val="0"/>
              <w:widowControl/>
              <w:suppressLineNumbers w:val="0"/>
              <w:rPr>
                <w:rFonts w:hint="eastAsia" w:ascii="宋体" w:hAnsi="宋体" w:eastAsia="宋体" w:cs="宋体"/>
                <w:color w:val="000000"/>
                <w:sz w:val="21"/>
                <w:szCs w:val="21"/>
                <w:highlight w:val="none"/>
              </w:rPr>
            </w:pPr>
          </w:p>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不同点</w:t>
            </w:r>
          </w:p>
        </w:tc>
        <w:tc>
          <w:tcPr>
            <w:tcW w:w="101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申购门槛</w:t>
            </w:r>
          </w:p>
        </w:tc>
        <w:tc>
          <w:tcPr>
            <w:tcW w:w="165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低（1000份）</w:t>
            </w:r>
          </w:p>
        </w:tc>
        <w:tc>
          <w:tcPr>
            <w:tcW w:w="1688"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高（至少30万、50万、100万份等）</w:t>
            </w:r>
          </w:p>
        </w:tc>
      </w:tr>
      <w:tr>
        <w:tblPrEx>
          <w:tblCellMar>
            <w:top w:w="0" w:type="dxa"/>
            <w:left w:w="0" w:type="dxa"/>
            <w:bottom w:w="0" w:type="dxa"/>
            <w:right w:w="0" w:type="dxa"/>
          </w:tblCellMar>
        </w:tblPrEx>
        <w:trPr>
          <w:trHeight w:val="470" w:hRule="atLeast"/>
          <w:tblCellSpacing w:w="0" w:type="dxa"/>
        </w:trPr>
        <w:tc>
          <w:tcPr>
            <w:tcW w:w="645" w:type="pct"/>
            <w:vMerge w:val="continue"/>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rPr>
                <w:rFonts w:hint="eastAsia" w:ascii="宋体" w:hAnsi="宋体" w:eastAsia="宋体" w:cs="宋体"/>
                <w:color w:val="000000"/>
                <w:sz w:val="21"/>
                <w:szCs w:val="21"/>
                <w:highlight w:val="none"/>
              </w:rPr>
            </w:pPr>
          </w:p>
        </w:tc>
        <w:tc>
          <w:tcPr>
            <w:tcW w:w="101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申赎、赎回渠道</w:t>
            </w:r>
          </w:p>
        </w:tc>
        <w:tc>
          <w:tcPr>
            <w:tcW w:w="165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银行、证券公司、互联网公司平台</w:t>
            </w:r>
          </w:p>
        </w:tc>
        <w:tc>
          <w:tcPr>
            <w:tcW w:w="1688"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证券公司</w:t>
            </w:r>
          </w:p>
        </w:tc>
      </w:tr>
      <w:tr>
        <w:tblPrEx>
          <w:tblCellMar>
            <w:top w:w="0" w:type="dxa"/>
            <w:left w:w="0" w:type="dxa"/>
            <w:bottom w:w="0" w:type="dxa"/>
            <w:right w:w="0" w:type="dxa"/>
          </w:tblCellMar>
        </w:tblPrEx>
        <w:trPr>
          <w:trHeight w:val="791" w:hRule="atLeast"/>
          <w:tblCellSpacing w:w="0" w:type="dxa"/>
        </w:trPr>
        <w:tc>
          <w:tcPr>
            <w:tcW w:w="645" w:type="pct"/>
            <w:vMerge w:val="continue"/>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rPr>
                <w:rFonts w:hint="eastAsia" w:ascii="宋体" w:hAnsi="宋体" w:eastAsia="宋体" w:cs="宋体"/>
                <w:color w:val="000000"/>
                <w:sz w:val="21"/>
                <w:szCs w:val="21"/>
                <w:highlight w:val="none"/>
              </w:rPr>
            </w:pPr>
          </w:p>
        </w:tc>
        <w:tc>
          <w:tcPr>
            <w:tcW w:w="101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管理费、托管费</w:t>
            </w:r>
          </w:p>
        </w:tc>
        <w:tc>
          <w:tcPr>
            <w:tcW w:w="165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90%的ETF资产不得收取【ETF联接基金中的ETF部分不得计提】</w:t>
            </w:r>
          </w:p>
        </w:tc>
        <w:tc>
          <w:tcPr>
            <w:tcW w:w="1688"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p>
        </w:tc>
      </w:tr>
      <w:tr>
        <w:tblPrEx>
          <w:tblCellMar>
            <w:top w:w="0" w:type="dxa"/>
            <w:left w:w="0" w:type="dxa"/>
            <w:bottom w:w="0" w:type="dxa"/>
            <w:right w:w="0" w:type="dxa"/>
          </w:tblCellMar>
        </w:tblPrEx>
        <w:trPr>
          <w:trHeight w:val="429" w:hRule="atLeast"/>
          <w:tblCellSpacing w:w="0" w:type="dxa"/>
        </w:trPr>
        <w:tc>
          <w:tcPr>
            <w:tcW w:w="645" w:type="pct"/>
            <w:vMerge w:val="continue"/>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rPr>
                <w:rFonts w:hint="eastAsia" w:ascii="宋体" w:hAnsi="宋体" w:eastAsia="宋体" w:cs="宋体"/>
                <w:color w:val="000000"/>
                <w:sz w:val="21"/>
                <w:szCs w:val="21"/>
                <w:highlight w:val="none"/>
              </w:rPr>
            </w:pPr>
          </w:p>
        </w:tc>
        <w:tc>
          <w:tcPr>
            <w:tcW w:w="101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费率</w:t>
            </w:r>
          </w:p>
        </w:tc>
        <w:tc>
          <w:tcPr>
            <w:tcW w:w="1653"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参照开放式</w:t>
            </w:r>
          </w:p>
        </w:tc>
        <w:tc>
          <w:tcPr>
            <w:tcW w:w="1688" w:type="pct"/>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pStyle w:val="4"/>
              <w:keepNext w:val="0"/>
              <w:keepLines w:val="0"/>
              <w:widowControl/>
              <w:suppressLineNumbers w:val="0"/>
              <w:rPr>
                <w:rFonts w:hint="eastAsia" w:ascii="宋体" w:hAnsi="宋体" w:eastAsia="宋体" w:cs="宋体"/>
                <w:color w:val="000000"/>
                <w:sz w:val="21"/>
                <w:szCs w:val="21"/>
                <w:highlight w:val="none"/>
              </w:rPr>
            </w:pPr>
            <w:r>
              <w:rPr>
                <w:rFonts w:hint="eastAsia" w:ascii="宋体" w:hAnsi="宋体" w:eastAsia="宋体" w:cs="宋体"/>
                <w:color w:val="000000"/>
                <w:sz w:val="21"/>
                <w:szCs w:val="21"/>
                <w:highlight w:val="none"/>
              </w:rPr>
              <w:t>与封闭式基金的交易费用相同</w:t>
            </w:r>
          </w:p>
        </w:tc>
      </w:tr>
    </w:tbl>
    <w:p>
      <w:pPr>
        <w:rPr>
          <w:rFonts w:hint="eastAsia" w:ascii="宋体" w:hAnsi="宋体" w:eastAsia="宋体" w:cs="宋体"/>
          <w:b/>
          <w:bCs/>
          <w:color w:val="4472C4" w:themeColor="accent1"/>
          <w:lang w:eastAsia="zh-CN"/>
          <w14:textFill>
            <w14:solidFill>
              <w14:schemeClr w14:val="accent1"/>
            </w14:solidFill>
          </w14:textFill>
        </w:rPr>
      </w:pP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w:t>
      </w:r>
      <w:r>
        <w:rPr>
          <w:rFonts w:hint="eastAsia" w:ascii="宋体" w:hAnsi="宋体" w:eastAsia="宋体" w:cs="宋体"/>
          <w:lang w:eastAsia="zh-CN"/>
        </w:rPr>
        <w:t>QDII基金</w:t>
      </w:r>
    </w:p>
    <w:p>
      <w:pPr>
        <w:rPr>
          <w:rFonts w:hint="eastAsia" w:ascii="宋体" w:hAnsi="宋体" w:eastAsia="宋体" w:cs="宋体"/>
          <w:lang w:eastAsia="zh-CN"/>
        </w:rPr>
      </w:pPr>
      <w:r>
        <w:rPr>
          <w:rFonts w:hint="eastAsia" w:ascii="宋体" w:hAnsi="宋体" w:eastAsia="宋体" w:cs="宋体"/>
          <w:lang w:eastAsia="zh-CN"/>
        </w:rPr>
        <w:t>（一）QDII的概述</w:t>
      </w:r>
    </w:p>
    <w:p>
      <w:pPr>
        <w:rPr>
          <w:rFonts w:hint="eastAsia" w:ascii="宋体" w:hAnsi="宋体" w:eastAsia="宋体" w:cs="宋体"/>
          <w:lang w:eastAsia="zh-CN"/>
        </w:rPr>
      </w:pPr>
      <w:r>
        <w:rPr>
          <w:rFonts w:hint="eastAsia" w:ascii="宋体" w:hAnsi="宋体" w:eastAsia="宋体" w:cs="宋体"/>
          <w:lang w:eastAsia="zh-CN"/>
        </w:rPr>
        <w:t>经中国证监会批准可以在境内募集资金进行境外证券投资的机构称为合格境内机构投资者（QDII）。</w:t>
      </w:r>
    </w:p>
    <w:p>
      <w:pPr>
        <w:rPr>
          <w:rFonts w:hint="eastAsia" w:ascii="宋体" w:hAnsi="宋体" w:eastAsia="宋体" w:cs="宋体"/>
          <w:lang w:eastAsia="zh-CN"/>
        </w:rPr>
      </w:pPr>
      <w:r>
        <w:rPr>
          <w:rFonts w:hint="eastAsia" w:ascii="宋体" w:hAnsi="宋体" w:eastAsia="宋体" w:cs="宋体"/>
          <w:lang w:eastAsia="zh-CN"/>
        </w:rPr>
        <w:t>由基金管理公司发行的QDII产品即QDII基金。QDII 基金可以以人民币、美元或其他主要外汇货币为计价货币募集。</w:t>
      </w:r>
    </w:p>
    <w:p>
      <w:pPr>
        <w:rPr>
          <w:rFonts w:hint="eastAsia" w:ascii="宋体" w:hAnsi="宋体" w:eastAsia="宋体" w:cs="宋体"/>
          <w:lang w:eastAsia="zh-CN"/>
        </w:rPr>
      </w:pPr>
      <w:r>
        <w:rPr>
          <w:rFonts w:hint="eastAsia" w:ascii="宋体" w:hAnsi="宋体" w:eastAsia="宋体" w:cs="宋体"/>
          <w:lang w:eastAsia="zh-CN"/>
        </w:rPr>
        <w:t>不同于只能投资于国内市场的公募基金，QDII 基金可以进行国际市场投资。</w:t>
      </w:r>
    </w:p>
    <w:p>
      <w:pPr>
        <w:rPr>
          <w:rFonts w:hint="eastAsia" w:ascii="宋体" w:hAnsi="宋体" w:eastAsia="宋体" w:cs="宋体"/>
          <w:lang w:eastAsia="zh-CN"/>
        </w:rPr>
      </w:pPr>
      <w:r>
        <w:rPr>
          <w:rFonts w:hint="eastAsia" w:ascii="宋体" w:hAnsi="宋体" w:eastAsia="宋体" w:cs="宋体"/>
          <w:lang w:eastAsia="zh-CN"/>
        </w:rPr>
        <w:t>（二）QDII的投资对象</w:t>
      </w:r>
    </w:p>
    <w:p>
      <w:pPr>
        <w:rPr>
          <w:rFonts w:hint="eastAsia" w:ascii="宋体" w:hAnsi="宋体" w:eastAsia="宋体" w:cs="宋体"/>
          <w:lang w:eastAsia="zh-CN"/>
        </w:rPr>
      </w:pPr>
      <w:r>
        <w:rPr>
          <w:rFonts w:hint="eastAsia" w:ascii="宋体" w:hAnsi="宋体" w:eastAsia="宋体" w:cs="宋体"/>
          <w:lang w:eastAsia="zh-CN"/>
        </w:rPr>
        <w:t>1.QDII基金可投资于下列金融产品或工具：</w:t>
      </w:r>
    </w:p>
    <w:p>
      <w:pPr>
        <w:rPr>
          <w:rFonts w:hint="eastAsia" w:ascii="宋体" w:hAnsi="宋体" w:eastAsia="宋体" w:cs="宋体"/>
          <w:lang w:eastAsia="zh-CN"/>
        </w:rPr>
      </w:pPr>
      <w:r>
        <w:rPr>
          <w:rFonts w:hint="eastAsia" w:ascii="宋体" w:hAnsi="宋体" w:eastAsia="宋体" w:cs="宋体"/>
          <w:lang w:eastAsia="zh-CN"/>
        </w:rPr>
        <w:t>（1）银行存款、可转让存单、银行承兑汇票、银行票据、商业票据、回购协议、短期政府债券等货币市场工具。</w:t>
      </w:r>
    </w:p>
    <w:p>
      <w:pPr>
        <w:rPr>
          <w:rFonts w:hint="eastAsia" w:ascii="宋体" w:hAnsi="宋体" w:eastAsia="宋体" w:cs="宋体"/>
          <w:lang w:eastAsia="zh-CN"/>
        </w:rPr>
      </w:pPr>
      <w:r>
        <w:rPr>
          <w:rFonts w:hint="eastAsia" w:ascii="宋体" w:hAnsi="宋体" w:eastAsia="宋体" w:cs="宋体"/>
          <w:lang w:eastAsia="zh-CN"/>
        </w:rPr>
        <w:t>（2）政府债券、公司债券、可转换债券、住房按揭支持证券、资产支持证券等，以及经中国证监会认可的国际金融组织发行的证券。</w:t>
      </w:r>
    </w:p>
    <w:p>
      <w:pPr>
        <w:rPr>
          <w:rFonts w:hint="eastAsia" w:ascii="宋体" w:hAnsi="宋体" w:eastAsia="宋体" w:cs="宋体"/>
          <w:lang w:eastAsia="zh-CN"/>
        </w:rPr>
      </w:pPr>
      <w:r>
        <w:rPr>
          <w:rFonts w:hint="eastAsia" w:ascii="宋体" w:hAnsi="宋体" w:eastAsia="宋体" w:cs="宋体"/>
          <w:lang w:eastAsia="zh-CN"/>
        </w:rPr>
        <w:t>（3）与中国证监会签署双边监管合作谅解备忘录的国家或地区证券市场挂牌交易的普通股、优先股、全球存托凭证和美国存托凭证、房地产信托凭证。</w:t>
      </w:r>
    </w:p>
    <w:p>
      <w:pPr>
        <w:rPr>
          <w:rFonts w:hint="eastAsia" w:ascii="宋体" w:hAnsi="宋体" w:eastAsia="宋体" w:cs="宋体"/>
          <w:lang w:eastAsia="zh-CN"/>
        </w:rPr>
      </w:pPr>
      <w:r>
        <w:rPr>
          <w:rFonts w:hint="eastAsia" w:ascii="宋体" w:hAnsi="宋体" w:eastAsia="宋体" w:cs="宋体"/>
          <w:lang w:eastAsia="zh-CN"/>
        </w:rPr>
        <w:t>（4）在已与中国证监会签署双边监管合作谅解备忘录的国家或地区证券监管机构登记注册的公募基金。</w:t>
      </w:r>
    </w:p>
    <w:p>
      <w:pPr>
        <w:rPr>
          <w:rFonts w:hint="eastAsia" w:ascii="宋体" w:hAnsi="宋体" w:eastAsia="宋体" w:cs="宋体"/>
          <w:lang w:eastAsia="zh-CN"/>
        </w:rPr>
      </w:pPr>
      <w:r>
        <w:rPr>
          <w:rFonts w:hint="eastAsia" w:ascii="宋体" w:hAnsi="宋体" w:eastAsia="宋体" w:cs="宋体"/>
          <w:lang w:eastAsia="zh-CN"/>
        </w:rPr>
        <w:t>（5）与固定收益、股权、信用、商品指数、基金等标的物挂钩的结构性投资产品。</w:t>
      </w:r>
    </w:p>
    <w:p>
      <w:pPr>
        <w:rPr>
          <w:rFonts w:hint="eastAsia" w:ascii="宋体" w:hAnsi="宋体" w:eastAsia="宋体" w:cs="宋体"/>
          <w:lang w:eastAsia="zh-CN"/>
        </w:rPr>
      </w:pPr>
      <w:r>
        <w:rPr>
          <w:rFonts w:hint="eastAsia" w:ascii="宋体" w:hAnsi="宋体" w:eastAsia="宋体" w:cs="宋体"/>
          <w:lang w:eastAsia="zh-CN"/>
        </w:rPr>
        <w:t>（6）远期合约、互换及经中国证监会认可的境外交易所上市交易的权证、期权、期货等金融衍生产品。</w:t>
      </w:r>
    </w:p>
    <w:p>
      <w:pPr>
        <w:rPr>
          <w:rFonts w:hint="eastAsia" w:ascii="宋体" w:hAnsi="宋体" w:eastAsia="宋体" w:cs="宋体"/>
          <w:lang w:eastAsia="zh-CN"/>
        </w:rPr>
      </w:pPr>
      <w:r>
        <w:rPr>
          <w:rFonts w:hint="eastAsia" w:ascii="宋体" w:hAnsi="宋体" w:eastAsia="宋体" w:cs="宋体"/>
          <w:lang w:eastAsia="zh-CN"/>
        </w:rPr>
        <w:t>2.QDII 基金的禁止性行为【实物不可、风险高不可、借钱不可】</w:t>
      </w:r>
    </w:p>
    <w:p>
      <w:pPr>
        <w:rPr>
          <w:rFonts w:hint="eastAsia" w:ascii="宋体" w:hAnsi="宋体" w:eastAsia="宋体" w:cs="宋体"/>
          <w:lang w:eastAsia="zh-CN"/>
        </w:rPr>
      </w:pPr>
      <w:r>
        <w:rPr>
          <w:rFonts w:hint="eastAsia" w:ascii="宋体" w:hAnsi="宋体" w:eastAsia="宋体" w:cs="宋体"/>
          <w:lang w:eastAsia="zh-CN"/>
        </w:rPr>
        <w:t>（1）购买不动产。</w:t>
      </w:r>
    </w:p>
    <w:p>
      <w:pPr>
        <w:rPr>
          <w:rFonts w:hint="eastAsia" w:ascii="宋体" w:hAnsi="宋体" w:eastAsia="宋体" w:cs="宋体"/>
          <w:lang w:eastAsia="zh-CN"/>
        </w:rPr>
      </w:pPr>
      <w:r>
        <w:rPr>
          <w:rFonts w:hint="eastAsia" w:ascii="宋体" w:hAnsi="宋体" w:eastAsia="宋体" w:cs="宋体"/>
          <w:lang w:eastAsia="zh-CN"/>
        </w:rPr>
        <w:t>（2）购买房地产抵押按揭。</w:t>
      </w:r>
    </w:p>
    <w:p>
      <w:pPr>
        <w:rPr>
          <w:rFonts w:hint="eastAsia" w:ascii="宋体" w:hAnsi="宋体" w:eastAsia="宋体" w:cs="宋体"/>
          <w:lang w:eastAsia="zh-CN"/>
        </w:rPr>
      </w:pPr>
      <w:r>
        <w:rPr>
          <w:rFonts w:hint="eastAsia" w:ascii="宋体" w:hAnsi="宋体" w:eastAsia="宋体" w:cs="宋体"/>
          <w:lang w:eastAsia="zh-CN"/>
        </w:rPr>
        <w:t>（3）购买贵重金属或代表贵重金属的凭证。</w:t>
      </w:r>
    </w:p>
    <w:p>
      <w:pPr>
        <w:rPr>
          <w:rFonts w:hint="eastAsia" w:ascii="宋体" w:hAnsi="宋体" w:eastAsia="宋体" w:cs="宋体"/>
          <w:lang w:eastAsia="zh-CN"/>
        </w:rPr>
      </w:pPr>
      <w:r>
        <w:rPr>
          <w:rFonts w:hint="eastAsia" w:ascii="宋体" w:hAnsi="宋体" w:eastAsia="宋体" w:cs="宋体"/>
          <w:lang w:eastAsia="zh-CN"/>
        </w:rPr>
        <w:t>（4）购买实物商品。</w:t>
      </w:r>
    </w:p>
    <w:p>
      <w:pPr>
        <w:rPr>
          <w:rFonts w:hint="eastAsia" w:ascii="宋体" w:hAnsi="宋体" w:eastAsia="宋体" w:cs="宋体"/>
          <w:lang w:eastAsia="zh-CN"/>
        </w:rPr>
      </w:pPr>
      <w:r>
        <w:rPr>
          <w:rFonts w:hint="eastAsia" w:ascii="宋体" w:hAnsi="宋体" w:eastAsia="宋体" w:cs="宋体"/>
          <w:lang w:eastAsia="zh-CN"/>
        </w:rPr>
        <w:t>（5）除应付赎回、交易清算等临时用途以外，借入现金。该临时用途借入现金的比例不得超过基金、集合计划资产净值的 10%。</w:t>
      </w:r>
    </w:p>
    <w:p>
      <w:pPr>
        <w:rPr>
          <w:rFonts w:hint="eastAsia" w:ascii="宋体" w:hAnsi="宋体" w:eastAsia="宋体" w:cs="宋体"/>
          <w:lang w:eastAsia="zh-CN"/>
        </w:rPr>
      </w:pPr>
      <w:r>
        <w:rPr>
          <w:rFonts w:hint="eastAsia" w:ascii="宋体" w:hAnsi="宋体" w:eastAsia="宋体" w:cs="宋体"/>
          <w:lang w:eastAsia="zh-CN"/>
        </w:rPr>
        <w:t>（6）利用融资购买证券，但投资金融衍生产品除外。</w:t>
      </w:r>
    </w:p>
    <w:p>
      <w:pPr>
        <w:rPr>
          <w:rFonts w:hint="eastAsia" w:ascii="宋体" w:hAnsi="宋体" w:eastAsia="宋体" w:cs="宋体"/>
          <w:lang w:eastAsia="zh-CN"/>
        </w:rPr>
      </w:pPr>
      <w:r>
        <w:rPr>
          <w:rFonts w:hint="eastAsia" w:ascii="宋体" w:hAnsi="宋体" w:eastAsia="宋体" w:cs="宋体"/>
          <w:lang w:eastAsia="zh-CN"/>
        </w:rPr>
        <w:t>（7）参与未持有基础资产的卖空交易。</w:t>
      </w:r>
    </w:p>
    <w:p>
      <w:pPr>
        <w:rPr>
          <w:rFonts w:hint="eastAsia" w:ascii="宋体" w:hAnsi="宋体" w:eastAsia="宋体" w:cs="宋体"/>
          <w:lang w:eastAsia="zh-CN"/>
        </w:rPr>
      </w:pPr>
      <w:r>
        <w:rPr>
          <w:rFonts w:hint="eastAsia" w:ascii="宋体" w:hAnsi="宋体" w:eastAsia="宋体" w:cs="宋体"/>
          <w:lang w:eastAsia="zh-CN"/>
        </w:rPr>
        <w:t>（8）从事证券承销业务。</w:t>
      </w:r>
    </w:p>
    <w:p>
      <w:pPr>
        <w:rPr>
          <w:rFonts w:hint="eastAsia" w:ascii="宋体" w:hAnsi="宋体" w:eastAsia="宋体" w:cs="宋体"/>
          <w:lang w:eastAsia="zh-CN"/>
        </w:rPr>
      </w:pPr>
      <w:r>
        <w:rPr>
          <w:rFonts w:hint="eastAsia" w:ascii="宋体" w:hAnsi="宋体" w:eastAsia="宋体" w:cs="宋体"/>
          <w:lang w:eastAsia="zh-CN"/>
        </w:rPr>
        <w:t>（9）中国证监会禁止的其他行为。</w:t>
      </w:r>
    </w:p>
    <w:p>
      <w:pPr>
        <w:rPr>
          <w:rFonts w:hint="eastAsia" w:ascii="宋体" w:hAnsi="宋体" w:eastAsia="宋体" w:cs="宋体"/>
          <w:color w:val="003399"/>
        </w:rPr>
      </w:pPr>
    </w:p>
    <w:p>
      <w:pPr>
        <w:jc w:val="center"/>
        <w:rPr>
          <w:rFonts w:hint="eastAsia" w:ascii="宋体" w:hAnsi="宋体" w:eastAsia="宋体" w:cs="宋体"/>
          <w:b/>
          <w:bCs/>
        </w:rPr>
      </w:pPr>
      <w:r>
        <w:rPr>
          <w:rFonts w:hint="eastAsia" w:ascii="宋体" w:hAnsi="宋体" w:eastAsia="宋体" w:cs="宋体"/>
          <w:b/>
          <w:bCs/>
        </w:rPr>
        <w:t>第四章 证券投资基金的监管</w:t>
      </w:r>
    </w:p>
    <w:p>
      <w:pPr>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考点一</w:t>
      </w:r>
      <w:r>
        <w:rPr>
          <w:rFonts w:hint="eastAsia" w:ascii="宋体" w:hAnsi="宋体" w:eastAsia="宋体" w:cs="宋体"/>
        </w:rPr>
        <w:t xml:space="preserve"> </w:t>
      </w:r>
      <w:r>
        <w:rPr>
          <w:rFonts w:hint="eastAsia" w:ascii="宋体" w:hAnsi="宋体" w:eastAsia="宋体" w:cs="宋体"/>
          <w:b w:val="0"/>
          <w:i w:val="0"/>
          <w:sz w:val="21"/>
          <w:u w:val="none"/>
          <w:lang w:eastAsia="zh-CN"/>
        </w:rPr>
        <w:t>基金监管目标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（1）保护投资人及相关当事人的合法权益（首要目标）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（2）规范证券投资基金活动（规范证券投资基金活动是基金监管的直接目标，也是促进证券投资基金和资本市场健康发展的前提条件）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（3）促进证券投资基金和资本市场的健康发展</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考点二</w:t>
      </w:r>
      <w:r>
        <w:rPr>
          <w:rFonts w:hint="eastAsia" w:ascii="宋体" w:hAnsi="宋体" w:eastAsia="宋体" w:cs="宋体"/>
        </w:rPr>
        <w:t xml:space="preserve"> </w:t>
      </w:r>
      <w:r>
        <w:rPr>
          <w:rFonts w:hint="eastAsia" w:ascii="宋体" w:hAnsi="宋体" w:eastAsia="宋体" w:cs="宋体"/>
          <w:b w:val="0"/>
          <w:i w:val="0"/>
          <w:sz w:val="21"/>
          <w:u w:val="none"/>
          <w:lang w:eastAsia="zh-CN"/>
        </w:rPr>
        <w:t>基金监管的原则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1.保护投资人利益原则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2.适度监管原则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对于基金而言，行政监管不应直接干预基金机构内部的经营管理。应形成以行政监管为核心、行业自律为纽带、机构内控为基础、社会监督为补充的“四位一体”的监管格局。</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3.高效监管原则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4.依法监管原则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5.审慎监管原则（也称“结构性的早期干预和解决方案”）</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6.公平、公正、公开监管原则（“三公”原则）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考点三</w:t>
      </w:r>
      <w:r>
        <w:rPr>
          <w:rFonts w:hint="eastAsia" w:ascii="宋体" w:hAnsi="宋体" w:eastAsia="宋体" w:cs="宋体"/>
        </w:rPr>
        <w:t xml:space="preserve"> </w:t>
      </w:r>
      <w:r>
        <w:rPr>
          <w:rFonts w:hint="eastAsia" w:ascii="宋体" w:hAnsi="宋体" w:eastAsia="宋体" w:cs="宋体"/>
          <w:b w:val="0"/>
          <w:i w:val="0"/>
          <w:sz w:val="21"/>
          <w:u w:val="none"/>
          <w:lang w:eastAsia="zh-CN"/>
        </w:rPr>
        <w:t>证券基金期货市场诚信信息采集的对象、诚信信息的范围及不得采集的内容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诚信信息的范围</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诚信档案不得采集公民的宗教信仰、基因、指纹、血型、疾病和病史信息以及法律、行政法规规定禁止采集的其他信息。</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四</w:t>
      </w:r>
      <w:r>
        <w:rPr>
          <w:rFonts w:hint="eastAsia" w:ascii="宋体" w:hAnsi="宋体" w:eastAsia="宋体" w:cs="宋体"/>
          <w:b w:val="0"/>
          <w:i w:val="0"/>
          <w:sz w:val="21"/>
          <w:u w:val="none"/>
          <w:lang w:eastAsia="zh-CN"/>
        </w:rPr>
        <w:t>中国证监会的监管职责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中国证监会依法担负国家对证券市场实施集中统一监管的职责。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根据《证券投资基金监管职责分工协作指引》的规定，基金监管职责分工的总体要求是职责清晰、分工明确、反应快速、协调有序。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（一）中国证监会的职责：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1.制定有关证券投资基金活动监督管理的规章、规则，并行使审批、核准或者注册权；</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2.办理基金备案；</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3.对基金管理人、基金托管人及其他机构从事证券投资基金活动进行监督管理，对违法行为进行查处，并予以公告；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4.制定基金从业人员的资格标准和行为准则，并监督实施；</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5.监督检查基金信息的披露情况；</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6.指导和监督基金业协会的活动；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7.法律、行政法规规定的其他职责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（二）中国证监会工作人员的义务和责任</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中国证监会工作人员依法履行职责，进行调查或者检查时，不得少于 2 人，并应当出示合法证件。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中国证监会领导干部离职后 3 年内，一般工作人员离职后 2 年内，不得到与原工作业务直接相关的机构任职。但经过中国证监会批准，可以在基金管理公司、证券公司、期货公司等机构担任督察长、合规总监、首席风险官等职务。</w:t>
      </w:r>
    </w:p>
    <w:p>
      <w:pPr>
        <w:rPr>
          <w:rFonts w:hint="eastAsia" w:ascii="宋体" w:hAnsi="宋体" w:eastAsia="宋体" w:cs="宋体"/>
          <w:b/>
          <w:bCs/>
          <w:color w:val="4472C4" w:themeColor="accent1"/>
          <w14:textFill>
            <w14:solidFill>
              <w14:schemeClr w14:val="accent1"/>
            </w14:solidFill>
          </w14:textFill>
        </w:rPr>
      </w:pPr>
    </w:p>
    <w:p>
      <w:pPr>
        <w:numPr>
          <w:ilvl w:val="0"/>
          <w:numId w:val="0"/>
        </w:numPr>
        <w:overflowPunct w:val="0"/>
        <w:ind w:leftChars="0"/>
        <w:jc w:val="both"/>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考点五</w:t>
      </w:r>
      <w:r>
        <w:rPr>
          <w:rFonts w:hint="eastAsia" w:ascii="宋体" w:hAnsi="宋体" w:eastAsia="宋体" w:cs="宋体"/>
        </w:rPr>
        <w:t xml:space="preserve"> </w:t>
      </w:r>
      <w:r>
        <w:rPr>
          <w:rFonts w:hint="eastAsia" w:ascii="宋体" w:hAnsi="宋体" w:eastAsia="宋体" w:cs="宋体"/>
          <w:b w:val="0"/>
          <w:i w:val="0"/>
          <w:sz w:val="21"/>
          <w:u w:val="none"/>
          <w:lang w:eastAsia="zh-CN"/>
        </w:rPr>
        <w:t>基金行业自律组织：基金业协会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（一）基金业协会的概述</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1.基金管理人、基金托管人应当加入基金行业协会。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2.基金行业协会会员包括普通会员、联席会员、观察会员和特别会员。</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基金业协会的权力机构为全体会员组成的会员大会，协会章程由会员大会制定，并报中国证监会备案。基金业协会设理事会，理事会是基金业协会的执行机构。在会员大会闭会期间，理事会依据章程的规定执行会员大会决议。</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（二）基金业协会与证监会职责的区别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center"/>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协会的职责</w:t>
            </w:r>
          </w:p>
        </w:tc>
        <w:tc>
          <w:tcPr>
            <w:tcW w:w="426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center"/>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证监会的职责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维护会员和投资者的合法权益，制定和实施行业自律规则</w:t>
            </w:r>
          </w:p>
        </w:tc>
        <w:tc>
          <w:tcPr>
            <w:tcW w:w="426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制定有关证券投资基金活动监督管理的规章、规则，并行使审批、核准或者注册权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制定行业执业标准和业务规范，组织基金从业人员的从业考试、资质管理和业务培训</w:t>
            </w:r>
          </w:p>
        </w:tc>
        <w:tc>
          <w:tcPr>
            <w:tcW w:w="426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制定基金从业人员的资格标准和行为准则，并监督实施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组织开展投资者教育工作</w:t>
            </w:r>
          </w:p>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对会员之间、会员与客户之间发生的基金业务纠纷进行调解</w:t>
            </w:r>
          </w:p>
        </w:tc>
        <w:tc>
          <w:tcPr>
            <w:tcW w:w="426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对基金管理人、基金托管人及其他机构从事证券投资基金活动进行监督管理，对违法行为进行查处，并予以公告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依法办理非公开募集基金的登记、备案</w:t>
            </w:r>
          </w:p>
        </w:tc>
        <w:tc>
          <w:tcPr>
            <w:tcW w:w="426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办理基金备案，监督检查基金信息的披露情况</w:t>
            </w:r>
          </w:p>
        </w:tc>
      </w:tr>
    </w:tbl>
    <w:p>
      <w:pPr>
        <w:rPr>
          <w:rFonts w:hint="eastAsia" w:ascii="宋体" w:hAnsi="宋体" w:eastAsia="宋体" w:cs="宋体"/>
        </w:rPr>
      </w:pPr>
    </w:p>
    <w:p>
      <w:pPr>
        <w:numPr>
          <w:ilvl w:val="0"/>
          <w:numId w:val="0"/>
        </w:numPr>
        <w:overflowPunct w:val="0"/>
        <w:ind w:leftChars="0"/>
        <w:jc w:val="both"/>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考点五</w:t>
      </w:r>
      <w:r>
        <w:rPr>
          <w:rFonts w:hint="eastAsia" w:ascii="宋体" w:hAnsi="宋体" w:eastAsia="宋体" w:cs="宋体"/>
        </w:rPr>
        <w:t xml:space="preserve"> </w:t>
      </w:r>
      <w:r>
        <w:rPr>
          <w:rFonts w:hint="eastAsia" w:ascii="宋体" w:hAnsi="宋体" w:eastAsia="宋体" w:cs="宋体"/>
          <w:b w:val="0"/>
          <w:i w:val="0"/>
          <w:sz w:val="21"/>
          <w:u w:val="none"/>
          <w:lang w:eastAsia="zh-CN"/>
        </w:rPr>
        <w:t>证券市场的自律管理者：证券交易所</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（一）证券交易所的法律地位</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证券交易所是为证券集中交易提供场所和设施，组织和监督证券交易，实行自律管理的法人。证券交易所具有监管者和被监管者的双重身份。</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（二）对基金投资行为的监管</w:t>
      </w:r>
    </w:p>
    <w:p>
      <w:pPr>
        <w:rPr>
          <w:rFonts w:hint="eastAsia" w:ascii="宋体" w:hAnsi="宋体" w:eastAsia="宋体" w:cs="宋体"/>
        </w:rPr>
      </w:pPr>
      <w:r>
        <w:rPr>
          <w:rFonts w:hint="eastAsia" w:ascii="宋体" w:hAnsi="宋体" w:eastAsia="宋体" w:cs="宋体"/>
          <w:b w:val="0"/>
          <w:i w:val="0"/>
          <w:sz w:val="21"/>
          <w:u w:val="none"/>
          <w:lang w:eastAsia="zh-CN"/>
        </w:rPr>
        <w:t xml:space="preserve">    证券交易所在监控中发现基金交易行为异常，涉嫌违法违规的，可以根据具体情况，采取电话提示、警告、约见谈话、公开谴责等措施，并同时向中国证监会报告。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考点六</w:t>
      </w:r>
      <w:r>
        <w:rPr>
          <w:rFonts w:hint="eastAsia" w:ascii="宋体" w:hAnsi="宋体" w:eastAsia="宋体" w:cs="宋体"/>
        </w:rPr>
        <w:t xml:space="preserve"> </w:t>
      </w:r>
      <w:r>
        <w:rPr>
          <w:rFonts w:hint="eastAsia" w:ascii="宋体" w:hAnsi="宋体" w:eastAsia="宋体" w:cs="宋体"/>
          <w:b w:val="0"/>
          <w:i w:val="0"/>
          <w:sz w:val="21"/>
          <w:u w:val="none"/>
          <w:lang w:eastAsia="zh-CN"/>
        </w:rPr>
        <w:t>基金管理人的法定组织形式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依据《证券投资基金法》的规定，基金管理人由依法设立的公司或者合伙企业担任。而担任公开募集基金的基金管理人的主体资格受到严格限制，只能由基金管理公司或者经中国证监会按照规定核准的其他机构担任。</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设立管理公开募集基金的基金管理公司，应当具备下列条件：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（1）有符合《证券投资基金法》和《中华人民共和国公司法》规定的章程。</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（2）注册资本不低于 1 亿元人民币，且必须为实缴货币资本。</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（3）主要股东（≥25%）应当具有经营金融业务或者管理金融机构的良好业绩、良好的财务状况和社会信誉，资产规模达到国务院规定的标准，最近 3 年没有违法记录。主要股东为法人或其他组织的，净资产≥2亿元，为自然人的，个人金融资产≥3000万元人民币，从业10年以上。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取得基金从业资格的人员达到法定人数。依据《证券投资基金管理公司管理办法》的规定，设立基金管理公司，应当有符合法律、行政法规和中国证监会规定的拟任高级管理人员以及从事研究、投资、估值、营销等业务的人员，拟任高级管理人员、业务人员不少于15人，并应当取得基金从业资格。（高管+业务人员≥15人，并取得从业资格证）</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（5）董事、监事、高级管理人员具备相应的任职条件。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（6）有符合要求的营业场所、安全防范设施和与基金管理业务有关的其他设施。</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（7）有良好的内部治理结构、完善的内部稽核监控制度、风险控制制度。</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（8）法律、行政法规规定的和经国务院批准的中国证监会规定的其他条件。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基金管理公司变更持有5%以上股权的股东，变更公司的实际控制人，或者变更其他重大事项，应当报经国务院证券监督管理机构批准。中国证监会应当自受理申请之日起60日内做出批准或者不予批准的决定，并通知申请人；不予批准的，应当说明理由。</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七</w:t>
      </w:r>
      <w:r>
        <w:rPr>
          <w:rFonts w:hint="eastAsia" w:ascii="宋体" w:hAnsi="宋体" w:eastAsia="宋体" w:cs="宋体"/>
          <w:b w:val="0"/>
          <w:i w:val="0"/>
          <w:sz w:val="21"/>
          <w:u w:val="none"/>
          <w:lang w:eastAsia="zh-CN"/>
        </w:rPr>
        <w:t>基金管理人从业人员的兼任和竞业禁止</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证券投资基金法》规定，公开募集基金的基金管理人的董事、监事、高级管理人员和其他从业人员，不得担任基金托管人或者其他基金管理人的任何职务，不得从事损害基金财产和基金份额持有人利益的证券交易及其他活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八</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基金管理人的法定职责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（1）依法募集资金，办理基金份额的发售和登记事宜；</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（2）办理基金备案手续；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（3）对所管理的不同基金财产分别管理、分别记账，进行证券投资；</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（4）按照基金合同的约定确定基金收益分配方案，及时向基金份额持有人分配收益；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（5）进行基金会计核算并编制基金财务会计报告；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（6）编制中期和年度基金报告；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（7）计算并公告基金资产净值，确定基金份额申购、赎回价格；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（8）办理与基金财产管理业务活动有关的信息披露事项；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（9）按照规定召集基金份额持有人大会；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（10）保存基金财产管理业务活动的记录、账册、报表和其他相关资料；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（11）以基金管理人名义，代表基金份额持有人利益行使诉讼权利或者实施其他法律行为；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（12）中国证监会规定的其他职责。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九</w:t>
      </w:r>
      <w:r>
        <w:rPr>
          <w:rFonts w:hint="eastAsia" w:ascii="宋体" w:hAnsi="宋体" w:eastAsia="宋体" w:cs="宋体"/>
          <w:b w:val="0"/>
          <w:i w:val="0"/>
          <w:sz w:val="21"/>
          <w:u w:val="none"/>
          <w:lang w:eastAsia="zh-CN"/>
        </w:rPr>
        <w:t>基金管理人的从业人员证券投资的限制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依据《证券投资基金法》的规定，基金管理人的董事、监事、高级管理人员和其他从业人员，其本人、配偶、利害关系人进行证券投资，应当事先向基金管理人申报，并不得与基金份额持有人发生利益冲突。</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公开募集基金的基金管理人应当建立董事、监事、高级管理人员和其他从业人员进行证券投资的申报、登记、审查、处置等管理制度，并报中国证监会备案。</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担任基金托管人的条件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（1）净资产和风险控制指标符合有关规定；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（2）设有专门的基金托管部门；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（3）取得基金从业资格的专职人员达到法定人数;</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（4）有安全保管基金财产的条件；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（5）有安全高效的清算、交割系统；</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（6）有符合要求的营业场所、安全防范设施和与基金托管业务有关的其他设施；</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（7）有完善的内部稽核监控制度和风险控制制度；</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（8）法律、行政法规规定的和经国务院批准的中国证监会、中国银监会规定的其他条件。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十一</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基金托管人的职责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（1）安全保管基金财产；</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（2）按照规定开设基金财产的资金账户和证券账户；</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（3）对所托管的不同基金财产分别设置账户，确保基金财产的完整与独立；</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（4）保存基金托管业务活动的记录、账册、报表和其他相关资料；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（5）按照基金合同的约定，根据基金管理人的投资指令，及时办理清算、交割事宜；</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（6）办理与基金托管业务活动有关的信息披露事项；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（7）对基金财务会计报告、中期和年度基金报告出具意见；</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（8）复核、审查基金管理人计算的基金资产净值和基金份额申购、赎回价格；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（9）按照规定召集基金份额持有人大会；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（10）按照规定监督基金管理人的投资运作；</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（11）中国证监会规定的其他职责。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十二</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公开募集基金的注册</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1.注册制度</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公开募集基金应当经中国证监会</w:t>
      </w:r>
      <w:r>
        <w:rPr>
          <w:rFonts w:hint="eastAsia" w:ascii="宋体" w:hAnsi="宋体" w:eastAsia="宋体" w:cs="宋体"/>
          <w:b w:val="0"/>
          <w:i w:val="0"/>
          <w:sz w:val="21"/>
          <w:highlight w:val="yellow"/>
          <w:u w:val="none"/>
          <w:lang w:eastAsia="zh-CN"/>
        </w:rPr>
        <w:t>注册</w:t>
      </w:r>
      <w:r>
        <w:rPr>
          <w:rFonts w:hint="eastAsia" w:ascii="宋体" w:hAnsi="宋体" w:eastAsia="宋体" w:cs="宋体"/>
          <w:b w:val="0"/>
          <w:i w:val="0"/>
          <w:sz w:val="21"/>
          <w:u w:val="none"/>
          <w:lang w:eastAsia="zh-CN"/>
        </w:rPr>
        <w:t>。未经注册，不得公开或者变相公开募集基金。前款所称公开募集基金，包括向不特定对象募集资金、向特定对象募集资金累计超过 200 人，以及法律、行政法规规定的其他情形。公开募集基金应当由基金管理人管理，基金托管人托管。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2.基金注册的审查</w:t>
      </w:r>
    </w:p>
    <w:p>
      <w:pPr>
        <w:numPr>
          <w:ilvl w:val="0"/>
          <w:numId w:val="0"/>
        </w:numPr>
        <w:overflowPunct w:val="0"/>
        <w:ind w:leftChars="0"/>
        <w:jc w:val="left"/>
        <w:textAlignment w:val="auto"/>
        <w:rPr>
          <w:rFonts w:hint="eastAsia" w:ascii="宋体" w:hAnsi="宋体" w:eastAsia="宋体" w:cs="宋体"/>
          <w:b/>
          <w:bCs/>
          <w:color w:val="4472C4" w:themeColor="accent1"/>
          <w:lang w:val="en-US" w:eastAsia="zh-CN"/>
          <w14:textFill>
            <w14:solidFill>
              <w14:schemeClr w14:val="accent1"/>
            </w14:solidFill>
          </w14:textFill>
        </w:rPr>
      </w:pPr>
      <w:r>
        <w:rPr>
          <w:rFonts w:hint="eastAsia" w:ascii="宋体" w:hAnsi="宋体" w:eastAsia="宋体" w:cs="宋体"/>
          <w:b w:val="0"/>
          <w:i w:val="0"/>
          <w:sz w:val="21"/>
          <w:u w:val="none"/>
          <w:lang w:eastAsia="zh-CN"/>
        </w:rPr>
        <w:t xml:space="preserve">    中国证监会应当自受理公开募集基金的募集注册申请之日起 6 个月内依照法律、行政法规及中国证监会的规定进行审查，做出注册或者不予注册的决定，并通知申请人；不予注册的，应当说明理由。</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十三</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公开募集基金的发售</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1.基金的发售条件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1）基金募集申请经注册后，方可发售基金份额；（2）基金份额的发售，由基金管理人或者其委托的基金销售机构办理；（3）基金管理人应当在基金份额发售的3日前公布招募说明书、基金合同及其他有关文件。（4）对基金募集所进行的宣传推介活动，应当符合有关法律、行政法规的规定，不得有虚假记载、误导性陈述或者重大遗漏等法律规定的公开披露基金信息禁止行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2.基金的募集期限</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基金管理人应当自收到准予注册文件之日起 6 个月内进行基金募集。超过 6 个月开始募集，原注册的事项未发生实质性变化的，应当报中国证监会备案；发生实质性变化的，应当向中国证监会重新提交注册申请。基金募集期限自基金份额发售之日起计算，募集期限一般不得超过 3 个月。</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3.基金的备案</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募集期限届满，封闭式基金募集的基金份额总额达到准予注册规模的80%以上，开放式基金募集的基金份额总额超过准予注册的最低募集份额总额，并且基金份额持有人人数符合中国证监会规定的，基金管理人应当自募集期限届满之日起10日内聘请法定验资机构验资，自收到验资报告之日起10日内，向中国证监会提交验资报告，办理基金备案手续，并予以公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4.募集基金失败时基金管理人的责任</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投资人交纳认购的基金份额的款项时，基金合同成立；基金管理人依法向中国证监会办理基金备案手续，基金合同生效。</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基金募集失败，基金管理人应当承担下列责任：</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（1）以其固有资产承担因募集行为而产生的债务和费用；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（2）在基金募集期限届满后30日内返还投资人已交纳的款项，并加计银行同期存款利息。</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十四</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对公开募集基金销售活动的监管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1.基金销售适用性监管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基金销售机构在销售基金和相关产品的过程中，应当坚持投资人利益优先原则，注重根据投资人的风险承受能力销售不同风险登记的产品，把合适的产品销售给合适的基金投资人。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2.对基金宣传推介材料的监管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基金宣传推介材料，是指为推介基金向公众分发或者公布，使公众可以普遍获得的书面、电子或者其他介质的信息。</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基金宣传推介材料必须真实、准确，与基金合同、基金招募说明书相符，不得有下列情形：</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（1）虚假记载、误导性陈述或者重大遗漏；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（2）预测基金的证券投资业绩；</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（3）违规承诺收益或者承担损失；</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（4）诋毁其他基金管理人、基金托管人或者基金销售机构，或者其他基金管理人募集或者管理的基金；</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（5）夸大或者片面宣传基金，违规使用安全、保证、承诺、保险、避险、有保障、高收益、无风险等可能使投资人认为没有风险的或者片面强调集中营销时间限制的表述；</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（6）登载单位或者个人的推荐性文字；</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（7）中国证监会规定的其他情形 </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十五</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对公开募集基金投资与交易行为的监管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1.基金的投资方式和范围</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基金财产应当用于下列投资：（1）上市交易的股票、债券；（2）中国证监会规定的其他证券及其衍生品种。</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2.基金的投资与交易行为的限制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依据《证券投资基金法》的规定，基金财产不得用于下列投资或者活动：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（1）承销证券；</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（2）违反规定向他人贷款或者提供担保；</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（3）从事承担无限责任的投资；</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（4）买卖其他基金份额，但是中国证监会另有规定的除外；</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（5）向基金管理人、基金托管人出资；</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（6）从事内幕交易、操纵证券交易价格及其他不正当的证券交易活动；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（7）法律、行政法规和中国证监会规定禁止的其他活动。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十六</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对公开募集基金信息披露的监管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基金管理人、基金托管人和其他基金信息披露义务人应当依法披露基金信息，并保证所披露信息的真实性、准确性和完整性。</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公开披露基金信息，不得有下列行为：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（1）虚假记载、误导性陈述或者重大遗漏；【严重违法行为】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（2）对证券投资业绩进行预测；</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（3）违规承诺收益或者承担损失；</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（4）诋毁其他基金管理人、基金托管人或者基金销售机构；</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（5）法律、行政法规和中国证监会规定禁止的其他行为。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十七</w:t>
      </w:r>
      <w:r>
        <w:rPr>
          <w:rFonts w:hint="eastAsia" w:ascii="宋体" w:hAnsi="宋体" w:eastAsia="宋体" w:cs="宋体"/>
          <w:b w:val="0"/>
          <w:i w:val="0"/>
          <w:sz w:val="21"/>
          <w:u w:val="none"/>
          <w:lang w:eastAsia="zh-CN"/>
        </w:rPr>
        <w:t>基金份额持有人的法定权利</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（1）分享基金财产收益；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（2）参与分配清算后的剩余基金财产；</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（3）依法转让或者申请赎回其持有的基金份额；</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（4）按照规定要求召开基金份额持有人大会或者召集基金份额持有人大会；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（5）对基金份额持有人大会审议事项行使表决权；</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（6）对基金管理人、基金托管人、基金服务机构损害其合法权益的行为依法提起诉讼；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（7）基金合同约定的其他权利。</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公开募集基金的基金份额持有人有权查阅或者复制公开披露的基金信息资料；非公开募集基金的基金份额持有人对涉及自身利益的情况，有权查阅基金的财务会计账簿等财务资料。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十八</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基金份额持有人大会及其日常机构</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基金份额持有人大会由全体基金份额持有人组成，行使下列职权：</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（1）决定基金扩募或者延长基金合同期限；</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（2）决定修改基金合同的重要内容或者提前终止基金合同；</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（3）决定更换基金管理人、基金托管人；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（4）决定调整基金管理人、基金托管人的报酬标准；</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（5）基金合同约定的其他职权。</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按照基金合同约定，基金份额持有人大会可以设立日常机构。</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基金份额持有人大会及其日常机构不得直接参与或者干涉基金的投资管理活动。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十九</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公开募集基金的基金份额持有人权利行使</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1.基金份额持有人大会的召集</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依据《证券投资基金法》的规定，基金份额持有人大会由基金管理人召集。</w:t>
      </w:r>
    </w:p>
    <w:p>
      <w:pPr>
        <w:numPr>
          <w:ilvl w:val="0"/>
          <w:numId w:val="0"/>
        </w:numPr>
        <w:overflowPunct w:val="0"/>
        <w:ind w:leftChars="0"/>
        <w:jc w:val="center"/>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日常机构 → 基金管理人→基金托管人→ 代表基金份额10%以上的基金份额持有人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召开基金份额持有人大会，召集人应当至少提前 30 日公告基金份额持有人大会的召开时间、会议形式、审议事项、议事程序和表决方式等事项。基金份额持有人大会不得就未经公告的事项进行表决。</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2.基金份额持有人大会的召开</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依据《证券投资基金法》的规定，基金份额持有人大会可以采取现场方式召开，也可以采取通信等方式召开。</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基金份额持有人大会应当有代表 1/2 以上基金份额的持有人参加，方可召开。重新召集的基金份额持有人大会应当有代表 1/3 以上基金份额的持有人参加，方可召开。</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3.基金份额持有人大会的决议规则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基金份额持有人大会就审议事项做出决定，应当经参加大会的基金份额持有人所持表决权的1/2以上通过；</w:t>
      </w:r>
    </w:p>
    <w:p>
      <w:pPr>
        <w:numPr>
          <w:ilvl w:val="0"/>
          <w:numId w:val="0"/>
        </w:numPr>
        <w:overflowPunct w:val="0"/>
        <w:ind w:leftChars="0"/>
        <w:jc w:val="left"/>
        <w:textAlignment w:val="auto"/>
        <w:rPr>
          <w:rFonts w:hint="eastAsia" w:ascii="宋体" w:hAnsi="宋体" w:eastAsia="宋体" w:cs="宋体"/>
        </w:rPr>
      </w:pPr>
      <w:r>
        <w:rPr>
          <w:rFonts w:hint="eastAsia" w:ascii="宋体" w:hAnsi="宋体" w:eastAsia="宋体" w:cs="宋体"/>
          <w:b w:val="0"/>
          <w:i w:val="0"/>
          <w:sz w:val="21"/>
          <w:u w:val="none"/>
          <w:lang w:eastAsia="zh-CN"/>
        </w:rPr>
        <w:t>但是，转换基金的运作方式、更换基金管理人或者基金托管人、提前终止基金合同、与其他基金合并，应当经参加大会的基金份额持有人所持表决权的2/3 以上通过。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二十</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非公开募集基金的基金管理人的登记</w:t>
      </w:r>
    </w:p>
    <w:p>
      <w:pPr>
        <w:numPr>
          <w:ilvl w:val="0"/>
          <w:numId w:val="0"/>
        </w:numPr>
        <w:overflowPunct w:val="0"/>
        <w:ind w:leftChars="0"/>
        <w:jc w:val="left"/>
        <w:textAlignment w:val="auto"/>
        <w:rPr>
          <w:rFonts w:hint="eastAsia" w:ascii="宋体" w:hAnsi="宋体" w:eastAsia="宋体" w:cs="宋体"/>
          <w:b/>
          <w:bCs/>
          <w:color w:val="4472C4" w:themeColor="accent1"/>
          <w:lang w:val="en-US" w:eastAsia="zh-CN"/>
          <w14:textFill>
            <w14:solidFill>
              <w14:schemeClr w14:val="accent1"/>
            </w14:solidFill>
          </w14:textFill>
        </w:rPr>
      </w:pPr>
      <w:r>
        <w:rPr>
          <w:rFonts w:hint="eastAsia" w:ascii="宋体" w:hAnsi="宋体" w:eastAsia="宋体" w:cs="宋体"/>
          <w:b w:val="0"/>
          <w:i w:val="0"/>
          <w:sz w:val="21"/>
          <w:u w:val="none"/>
          <w:lang w:eastAsia="zh-CN"/>
        </w:rPr>
        <w:t>我国对于非公开募集基金的基金管理人没有严格的市场准入限制，担任非公开募集基金的基金管理人无须中国证监会审批，而实行登记制度，即非公开募集基金的基金管理人只需向基金业协会登记即可。对于非公开募集基金管理人的内部治理结构，实行自律管理。</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二十一</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对非公开募集基金募集行为的监管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1.对非公开募集基金募集对象的限制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依据《证券投资基金法》的规定，非公开募集基金应当向合格投资者募集，合格投资者累计不得超过 200 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投资者转让基金份额的，受让人应当为合格投资者且基金份额受让后投资者人数应当符合上述法律规定。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私募基金的合格投资者是指具备相应风险识别能力和风险承担能力，投资于单只私募基金的金额不低于 100 万元且符合下列相关标准的单位和个人：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（1）净资产不低于 1 000万元的单位；</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（2）金融资产不低于 300 万元或者最近 3 年个人年均收入不低于 50 万元的个人。</w:t>
      </w:r>
    </w:p>
    <w:p>
      <w:pPr>
        <w:numPr>
          <w:ilvl w:val="0"/>
          <w:numId w:val="0"/>
        </w:numPr>
        <w:overflowPunct w:val="0"/>
        <w:ind w:leftChars="0"/>
        <w:jc w:val="left"/>
        <w:textAlignment w:val="auto"/>
        <w:rPr>
          <w:rFonts w:hint="eastAsia" w:ascii="宋体" w:hAnsi="宋体" w:eastAsia="宋体" w:cs="宋体"/>
          <w:b/>
          <w:bCs/>
          <w:color w:val="4472C4" w:themeColor="accent1"/>
          <w:lang w:val="en-US" w:eastAsia="zh-CN"/>
          <w14:textFill>
            <w14:solidFill>
              <w14:schemeClr w14:val="accent1"/>
            </w14:solidFill>
          </w14:textFill>
        </w:rPr>
      </w:pPr>
      <w:r>
        <w:rPr>
          <w:rFonts w:hint="eastAsia" w:ascii="宋体" w:hAnsi="宋体" w:eastAsia="宋体" w:cs="宋体"/>
          <w:b w:val="0"/>
          <w:i w:val="0"/>
          <w:sz w:val="21"/>
          <w:u w:val="none"/>
          <w:lang w:eastAsia="zh-CN"/>
        </w:rPr>
        <w:t>下列投资者视为合格投资者：（1）社会保障基金、企业年金等养老基金，慈善基金等社会公益基金；（2）依法设立并在基金业协会备案的投资计划；（3）投资于所管理私募基金的私募基金管理人及其从业人员；（4）中国证监会规定的其他投资者。</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二十二</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非公开募集基金的备案</w:t>
      </w:r>
    </w:p>
    <w:p>
      <w:pPr>
        <w:jc w:val="left"/>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募集完毕后，基金管理人应当向基金业协会备案，基金业协会应当在私募基金备案材料齐备后的20个工作日内，通过网站公告私募基金名单及其基本情况的方式，为私募基金办结备案手续。</w:t>
      </w:r>
    </w:p>
    <w:p>
      <w:pPr>
        <w:jc w:val="center"/>
        <w:rPr>
          <w:rFonts w:hint="eastAsia" w:ascii="宋体" w:hAnsi="宋体" w:eastAsia="宋体" w:cs="宋体"/>
          <w:b/>
          <w:bCs/>
          <w:sz w:val="24"/>
          <w:szCs w:val="24"/>
        </w:rPr>
      </w:pPr>
      <w:r>
        <w:rPr>
          <w:rFonts w:hint="eastAsia" w:ascii="宋体" w:hAnsi="宋体" w:eastAsia="宋体" w:cs="宋体"/>
          <w:b/>
          <w:bCs/>
          <w:sz w:val="24"/>
          <w:szCs w:val="24"/>
        </w:rPr>
        <w:t xml:space="preserve">第五章 </w:t>
      </w:r>
      <w:r>
        <w:rPr>
          <w:rFonts w:hint="eastAsia" w:ascii="宋体" w:hAnsi="宋体" w:eastAsia="宋体" w:cs="宋体"/>
          <w:b/>
          <w:bCs/>
          <w:sz w:val="24"/>
          <w:szCs w:val="24"/>
          <w:lang w:eastAsia="zh-CN"/>
        </w:rPr>
        <w:t>基金职业道德</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考点一</w:t>
      </w:r>
      <w:r>
        <w:rPr>
          <w:rFonts w:hint="eastAsia" w:ascii="宋体" w:hAnsi="宋体" w:eastAsia="宋体" w:cs="宋体"/>
        </w:rPr>
        <w:t xml:space="preserve"> </w:t>
      </w:r>
      <w:r>
        <w:rPr>
          <w:rFonts w:hint="eastAsia" w:ascii="宋体" w:hAnsi="宋体" w:eastAsia="宋体" w:cs="宋体"/>
          <w:b w:val="0"/>
          <w:i w:val="0"/>
          <w:sz w:val="21"/>
          <w:u w:val="none"/>
          <w:lang w:eastAsia="zh-CN"/>
        </w:rPr>
        <w:t>道德的特征（“一技束体”）</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（1）差异性：社会经济基础和社会关系的不同。</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（2）继承性：决定或影响道德形成和发展的各种因素具有历史延续性。</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（3）约束性：道德依靠社会舆论、传统习俗和内心信念等发挥作用。</w:t>
      </w:r>
    </w:p>
    <w:p>
      <w:pPr>
        <w:rPr>
          <w:rFonts w:hint="eastAsia" w:ascii="宋体" w:hAnsi="宋体" w:eastAsia="宋体" w:cs="宋体"/>
        </w:rPr>
      </w:pPr>
      <w:r>
        <w:rPr>
          <w:rFonts w:hint="eastAsia" w:ascii="宋体" w:hAnsi="宋体" w:eastAsia="宋体" w:cs="宋体"/>
          <w:b w:val="0"/>
          <w:i w:val="0"/>
          <w:sz w:val="21"/>
          <w:u w:val="none"/>
          <w:lang w:eastAsia="zh-CN"/>
        </w:rPr>
        <w:t>（4）具体性：道德就是行为规范</w:t>
      </w:r>
    </w:p>
    <w:p>
      <w:pPr>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考点二</w:t>
      </w:r>
      <w:r>
        <w:rPr>
          <w:rFonts w:hint="eastAsia" w:ascii="宋体" w:hAnsi="宋体" w:eastAsia="宋体" w:cs="宋体"/>
        </w:rPr>
        <w:t xml:space="preserve"> </w:t>
      </w:r>
      <w:r>
        <w:rPr>
          <w:rFonts w:hint="eastAsia" w:ascii="宋体" w:hAnsi="宋体" w:eastAsia="宋体" w:cs="宋体"/>
          <w:b w:val="0"/>
          <w:i w:val="0"/>
          <w:sz w:val="21"/>
          <w:u w:val="none"/>
          <w:lang w:eastAsia="zh-CN"/>
        </w:rPr>
        <w:t>职业道德</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val="en-US" w:eastAsia="zh-CN"/>
        </w:rPr>
        <w:t>1</w:t>
      </w:r>
      <w:r>
        <w:rPr>
          <w:rFonts w:hint="eastAsia" w:ascii="宋体" w:hAnsi="宋体" w:eastAsia="宋体" w:cs="宋体"/>
          <w:b w:val="0"/>
          <w:i w:val="0"/>
          <w:sz w:val="21"/>
          <w:u w:val="none"/>
          <w:lang w:eastAsia="zh-CN"/>
        </w:rPr>
        <w:t>．职业道德的特征</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特殊性（一般社会道德在职业活动中的具体化）、继承性、规范性和具体性</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val="en-US" w:eastAsia="zh-CN"/>
        </w:rPr>
        <w:t>2</w:t>
      </w:r>
      <w:r>
        <w:rPr>
          <w:rFonts w:hint="eastAsia" w:ascii="宋体" w:hAnsi="宋体" w:eastAsia="宋体" w:cs="宋体"/>
          <w:b w:val="0"/>
          <w:i w:val="0"/>
          <w:sz w:val="21"/>
          <w:u w:val="none"/>
          <w:lang w:eastAsia="zh-CN"/>
        </w:rPr>
        <w:t>．职业道德的作用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（1）调整职业关系</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（2）提升职业素质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（3）促进行业发展</w:t>
      </w:r>
    </w:p>
    <w:p>
      <w:pPr>
        <w:rPr>
          <w:rFonts w:hint="eastAsia" w:ascii="宋体" w:hAnsi="宋体" w:eastAsia="宋体" w:cs="宋体"/>
        </w:rPr>
      </w:pPr>
      <w:r>
        <w:rPr>
          <w:rFonts w:hint="eastAsia" w:ascii="宋体" w:hAnsi="宋体" w:eastAsia="宋体" w:cs="宋体"/>
          <w:color w:val="4472C4" w:themeColor="accent1"/>
          <w14:textFill>
            <w14:solidFill>
              <w14:schemeClr w14:val="accent1"/>
            </w14:solidFill>
          </w14:textFill>
        </w:rPr>
        <w:t xml:space="preserve">考点三 </w:t>
      </w:r>
      <w:r>
        <w:rPr>
          <w:rFonts w:hint="eastAsia" w:ascii="宋体" w:hAnsi="宋体" w:eastAsia="宋体" w:cs="宋体"/>
          <w:b w:val="0"/>
          <w:i w:val="0"/>
          <w:sz w:val="21"/>
          <w:u w:val="none"/>
          <w:lang w:eastAsia="zh-CN"/>
        </w:rPr>
        <w:t>道德和法律的联系和区别</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1.道德与法律的联系</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（1）目的一致。道德和法律均属于行为规范，二者在根本目的上具有一致性。</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（2）内容转化。</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（3）功能互补。道德在调整范围上对法律有补充作用，法律在约束力上对道德有补充作用。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（4）相互促进。法律对传播道德具有促进作用；同时，道德对法律的实施也具有促进作用。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2.道德与法律的区别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val="0"/>
              <w:ind w:leftChars="0"/>
              <w:jc w:val="left"/>
              <w:textAlignment w:val="auto"/>
              <w:rPr>
                <w:rFonts w:hint="eastAsia" w:ascii="宋体" w:hAnsi="宋体" w:eastAsia="宋体" w:cs="宋体"/>
                <w:b w:val="0"/>
                <w:i w:val="0"/>
                <w:color w:val="000000"/>
                <w:sz w:val="21"/>
                <w:u w:val="none"/>
                <w:vertAlign w:val="baseline"/>
                <w:lang w:eastAsia="zh-CN"/>
              </w:rPr>
            </w:pP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center"/>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道德</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center"/>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法律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center"/>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表现形式</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社会认可和人们普遍接受</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国家制定或认可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center"/>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内容结构</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义务</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权利义务对等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center"/>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调整范围</w:t>
            </w:r>
          </w:p>
        </w:tc>
        <w:tc>
          <w:tcPr>
            <w:tcW w:w="5682" w:type="dxa"/>
            <w:gridSpan w:val="2"/>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val="0"/>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道德调整的范围比法律调整的范围更为广泛。但也有一些法律调整的领域道德并不调整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center"/>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调整手段</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依靠社会舆论、传统习俗和内心信念</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国家强制力</w:t>
            </w:r>
          </w:p>
        </w:tc>
      </w:tr>
    </w:tbl>
    <w:p>
      <w:pPr>
        <w:rPr>
          <w:rFonts w:hint="eastAsia" w:ascii="宋体" w:hAnsi="宋体" w:eastAsia="宋体" w:cs="宋体"/>
          <w:b/>
          <w:bCs/>
          <w:color w:val="4472C4" w:themeColor="accent1"/>
          <w14:textFill>
            <w14:solidFill>
              <w14:schemeClr w14:val="accent1"/>
            </w14:solidFill>
          </w14:textFill>
        </w:rPr>
      </w:pP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 xml:space="preserve">考点四 </w:t>
      </w:r>
      <w:r>
        <w:rPr>
          <w:rFonts w:hint="eastAsia" w:ascii="宋体" w:hAnsi="宋体" w:eastAsia="宋体" w:cs="宋体"/>
          <w:b w:val="0"/>
          <w:i w:val="0"/>
          <w:sz w:val="21"/>
          <w:u w:val="none"/>
          <w:lang w:eastAsia="zh-CN"/>
        </w:rPr>
        <w:t>守法合规【最基础】</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1.含义</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调整的是基金从业人员与基金行业及基金监管之间的关系。守法合规是指遵守国家法律、行政法规、部门规章、相关的自律规则及所属机构的各种管理规范，避免从业人员参与、实施或协助违法违规行为。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2.基本要求</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1.熟悉法律法规等行为规范（前提）</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2.遵守法律法规等行为规范</w:t>
      </w:r>
    </w:p>
    <w:p>
      <w:pPr>
        <w:rPr>
          <w:rFonts w:hint="eastAsia" w:ascii="宋体" w:hAnsi="宋体" w:eastAsia="宋体" w:cs="宋体"/>
        </w:rPr>
      </w:pPr>
      <w:r>
        <w:rPr>
          <w:rFonts w:hint="eastAsia" w:ascii="宋体" w:hAnsi="宋体" w:eastAsia="宋体" w:cs="宋体"/>
          <w:b w:val="0"/>
          <w:i w:val="0"/>
          <w:sz w:val="21"/>
          <w:u w:val="none"/>
          <w:lang w:eastAsia="zh-CN"/>
        </w:rPr>
        <w:t>具体而言，包括以下要求：（1）选择遵守更为严格的规范；（2）积极配合基金监管机构的监管；（3）负有监督职责的从业人员，应及时发现并制止违法违规行为，防止更为严重的后果；（4）普通从业人员一旦发现违规行为，应当及时制止，并向上级部门或者监管机构报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考点五</w:t>
      </w:r>
      <w:r>
        <w:rPr>
          <w:rFonts w:hint="eastAsia" w:ascii="宋体" w:hAnsi="宋体" w:eastAsia="宋体" w:cs="宋体"/>
        </w:rPr>
        <w:t xml:space="preserve"> </w:t>
      </w:r>
      <w:r>
        <w:rPr>
          <w:rFonts w:hint="eastAsia" w:ascii="宋体" w:hAnsi="宋体" w:eastAsia="宋体" w:cs="宋体"/>
          <w:b w:val="0"/>
          <w:i w:val="0"/>
          <w:sz w:val="21"/>
          <w:u w:val="none"/>
          <w:lang w:eastAsia="zh-CN"/>
        </w:rPr>
        <w:t>诚实守信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1.含义</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诚实：言行与内心思想一致，不弄虚作假、不隐瞒欺诈，做老实人、说老实话、办老实事。</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守信：遵守自己的承诺，讲信用、重信用、守信用。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诚实守信是调整各种社会人际关系的基本准则。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2.诚实守信的基本要求</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（1）不得进行内幕交易和操纵市场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（2）不得进行不正当竞争</w:t>
      </w:r>
    </w:p>
    <w:p>
      <w:pPr>
        <w:numPr>
          <w:ilvl w:val="0"/>
          <w:numId w:val="0"/>
        </w:numPr>
        <w:overflowPunct w:val="0"/>
        <w:ind w:leftChars="0"/>
        <w:jc w:val="left"/>
        <w:textAlignment w:val="auto"/>
        <w:rPr>
          <w:rFonts w:hint="eastAsia" w:ascii="宋体" w:hAnsi="宋体" w:eastAsia="宋体" w:cs="宋体"/>
        </w:rPr>
      </w:pPr>
      <w:r>
        <w:rPr>
          <w:rFonts w:hint="eastAsia" w:ascii="宋体" w:hAnsi="宋体" w:eastAsia="宋体" w:cs="宋体"/>
          <w:b w:val="0"/>
          <w:i w:val="0"/>
          <w:sz w:val="21"/>
          <w:u w:val="none"/>
          <w:lang w:eastAsia="zh-CN"/>
        </w:rPr>
        <w:t>（3）不得欺诈客户</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考点六</w:t>
      </w:r>
      <w:r>
        <w:rPr>
          <w:rFonts w:hint="eastAsia" w:ascii="宋体" w:hAnsi="宋体" w:eastAsia="宋体" w:cs="宋体"/>
        </w:rPr>
        <w:t xml:space="preserve"> </w:t>
      </w:r>
      <w:r>
        <w:rPr>
          <w:rFonts w:hint="eastAsia" w:ascii="宋体" w:hAnsi="宋体" w:eastAsia="宋体" w:cs="宋体"/>
          <w:b w:val="0"/>
          <w:i w:val="0"/>
          <w:sz w:val="21"/>
          <w:u w:val="none"/>
          <w:lang w:eastAsia="zh-CN"/>
        </w:rPr>
        <w:t>专业审慎</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1.专业审慎的含义</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具备与职业活动相适应的技能，勤勉审慎的开展业务，专业审慎是调整基金从业人员与职业之间关系的道德规范。</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2.专业审慎的基本要求</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（1）持证上岗</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（2）持续学习</w:t>
      </w:r>
    </w:p>
    <w:p>
      <w:pPr>
        <w:numPr>
          <w:ilvl w:val="0"/>
          <w:numId w:val="0"/>
        </w:numPr>
        <w:overflowPunct w:val="0"/>
        <w:ind w:leftChars="0"/>
        <w:jc w:val="left"/>
        <w:textAlignment w:val="auto"/>
        <w:rPr>
          <w:rFonts w:hint="eastAsia" w:ascii="宋体" w:hAnsi="宋体" w:eastAsia="宋体" w:cs="宋体"/>
        </w:rPr>
      </w:pPr>
      <w:r>
        <w:rPr>
          <w:rFonts w:hint="eastAsia" w:ascii="宋体" w:hAnsi="宋体" w:eastAsia="宋体" w:cs="宋体"/>
          <w:b w:val="0"/>
          <w:i w:val="0"/>
          <w:sz w:val="21"/>
          <w:u w:val="none"/>
          <w:lang w:eastAsia="zh-CN"/>
        </w:rPr>
        <w:t>（3）审慎开展执业活动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考点七</w:t>
      </w:r>
      <w:r>
        <w:rPr>
          <w:rFonts w:hint="eastAsia" w:ascii="宋体" w:hAnsi="宋体" w:eastAsia="宋体" w:cs="宋体"/>
        </w:rPr>
        <w:t xml:space="preserve"> </w:t>
      </w:r>
      <w:r>
        <w:rPr>
          <w:rFonts w:hint="eastAsia" w:ascii="宋体" w:hAnsi="宋体" w:eastAsia="宋体" w:cs="宋体"/>
          <w:b w:val="0"/>
          <w:i w:val="0"/>
          <w:sz w:val="21"/>
          <w:u w:val="none"/>
          <w:lang w:eastAsia="zh-CN"/>
        </w:rPr>
        <w:t>忠诚尽责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1.忠诚尽责的含义</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忠诚尽责，是调整基金从业人员与其所在机构之间关系的职业道德规范。</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2.忠诚尽责的基本要求</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（1）忠诚廉洁：不接受贿赂或进行商业贿赂</w:t>
      </w:r>
    </w:p>
    <w:p>
      <w:pPr>
        <w:numPr>
          <w:ilvl w:val="0"/>
          <w:numId w:val="0"/>
        </w:numPr>
        <w:overflowPunct w:val="0"/>
        <w:ind w:leftChars="0"/>
        <w:jc w:val="left"/>
        <w:textAlignment w:val="auto"/>
        <w:rPr>
          <w:rFonts w:hint="eastAsia" w:ascii="宋体" w:hAnsi="宋体" w:eastAsia="宋体" w:cs="宋体"/>
          <w:color w:val="003399"/>
        </w:rPr>
      </w:pPr>
      <w:r>
        <w:rPr>
          <w:rFonts w:hint="eastAsia" w:ascii="宋体" w:hAnsi="宋体" w:eastAsia="宋体" w:cs="宋体"/>
          <w:b w:val="0"/>
          <w:i w:val="0"/>
          <w:sz w:val="21"/>
          <w:u w:val="none"/>
          <w:lang w:eastAsia="zh-CN"/>
        </w:rPr>
        <w:t>（2）勤勉尽责：合约到期前提出辞职申请，并完成工作移交，离职后仍然履行保密和竞业禁止义务。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 xml:space="preserve">考点八 </w:t>
      </w:r>
      <w:r>
        <w:rPr>
          <w:rFonts w:hint="eastAsia" w:ascii="宋体" w:hAnsi="宋体" w:eastAsia="宋体" w:cs="宋体"/>
          <w:b w:val="0"/>
          <w:i w:val="0"/>
          <w:sz w:val="21"/>
          <w:u w:val="none"/>
          <w:lang w:eastAsia="zh-CN"/>
        </w:rPr>
        <w:t>保守秘密</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1.保守秘密的含义</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保守秘密，是指基金从业人员不应泄露或者披露客户和所属机构或者相关基金机构向其传达的信息，除非该信息涉及客户或潜在客户的违法活动，或者属于法律要求披露的信息，或者客户或潜在客户允许披露此信息。</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基金从业人员在执业活动中接触到的秘密主要包括三类：（1）商业秘密；（2）客户资料；（3）内幕信息。</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2.基本要求</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无论是在任职期间还是离职后，均不得泄露任何客户资料和交易信息。</w:t>
      </w:r>
    </w:p>
    <w:p>
      <w:pPr>
        <w:numPr>
          <w:ilvl w:val="0"/>
          <w:numId w:val="0"/>
        </w:numPr>
        <w:overflowPunct w:val="0"/>
        <w:ind w:leftChars="0"/>
        <w:jc w:val="both"/>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 xml:space="preserve">考点九 </w:t>
      </w:r>
      <w:r>
        <w:rPr>
          <w:rFonts w:hint="eastAsia" w:ascii="宋体" w:hAnsi="宋体" w:eastAsia="宋体" w:cs="宋体"/>
          <w:b w:val="0"/>
          <w:i w:val="0"/>
          <w:sz w:val="21"/>
          <w:u w:val="none"/>
          <w:lang w:eastAsia="zh-CN"/>
        </w:rPr>
        <w:t>基金职业道德教育与修养</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（一）基金职业道德教育</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1．定义</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通过受教育者自身以外的力量，对其进行职业行为规范、职业义务和责任等职业道德核心内容的教育活动。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2．内容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（1）培养基金职业道德观念</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（2）灌输基金职业道德规范</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3．途径</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（1）岗前职业道德教育</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（2）岗位职业道德教育</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（3）基金业协会的自律</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（4）树立基金职业道德典型</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（5）社会各界持续监督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（二）基金职业道德修养</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基金职业道德修养的方法：</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1.正确树立基金职业道德观念</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2.深刻领会基金职业道德规范</w:t>
      </w:r>
    </w:p>
    <w:p>
      <w:pPr>
        <w:numPr>
          <w:ilvl w:val="0"/>
          <w:numId w:val="0"/>
        </w:numPr>
        <w:overflowPunct/>
        <w:ind w:leftChars="0"/>
        <w:jc w:val="left"/>
        <w:textAlignment w:val="auto"/>
        <w:rPr>
          <w:rFonts w:hint="eastAsia" w:ascii="宋体" w:hAnsi="宋体" w:eastAsia="宋体" w:cs="宋体"/>
        </w:rPr>
      </w:pPr>
      <w:r>
        <w:rPr>
          <w:rFonts w:hint="eastAsia" w:ascii="宋体" w:hAnsi="宋体" w:eastAsia="宋体" w:cs="宋体"/>
          <w:b w:val="0"/>
          <w:i w:val="0"/>
          <w:sz w:val="21"/>
          <w:u w:val="none"/>
          <w:lang w:eastAsia="zh-CN"/>
        </w:rPr>
        <w:t>3.积极参加基金职业道德实践</w:t>
      </w:r>
    </w:p>
    <w:p>
      <w:pPr>
        <w:rPr>
          <w:rFonts w:hint="eastAsia" w:ascii="宋体" w:hAnsi="宋体" w:eastAsia="宋体" w:cs="宋体"/>
          <w:color w:val="003399"/>
        </w:rPr>
      </w:pPr>
    </w:p>
    <w:p>
      <w:pPr>
        <w:jc w:val="center"/>
        <w:rPr>
          <w:rFonts w:hint="eastAsia" w:ascii="宋体" w:hAnsi="宋体" w:eastAsia="宋体" w:cs="宋体"/>
          <w:b/>
          <w:bCs/>
          <w:sz w:val="24"/>
          <w:szCs w:val="24"/>
        </w:rPr>
      </w:pPr>
      <w:bookmarkStart w:id="0" w:name="_Hlk96694217"/>
      <w:r>
        <w:rPr>
          <w:rFonts w:hint="eastAsia" w:ascii="宋体" w:hAnsi="宋体" w:eastAsia="宋体" w:cs="宋体"/>
          <w:b/>
          <w:bCs/>
          <w:sz w:val="24"/>
          <w:szCs w:val="24"/>
        </w:rPr>
        <w:t>第六章</w:t>
      </w:r>
      <w:r>
        <w:rPr>
          <w:rFonts w:hint="eastAsia" w:ascii="宋体" w:hAnsi="宋体" w:eastAsia="宋体" w:cs="宋体"/>
          <w:b/>
          <w:bCs/>
          <w:sz w:val="24"/>
          <w:szCs w:val="24"/>
        </w:rPr>
        <w:t xml:space="preserve"> 投资者需求与投资管理流程</w:t>
      </w:r>
    </w:p>
    <w:bookmarkEnd w:id="0"/>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考点一</w:t>
      </w:r>
      <w:r>
        <w:rPr>
          <w:rFonts w:hint="eastAsia" w:ascii="宋体" w:hAnsi="宋体" w:eastAsia="宋体" w:cs="宋体"/>
        </w:rPr>
        <w:t xml:space="preserve"> </w:t>
      </w:r>
      <w:r>
        <w:rPr>
          <w:rFonts w:hint="eastAsia" w:ascii="宋体" w:hAnsi="宋体" w:eastAsia="宋体" w:cs="宋体"/>
          <w:b w:val="0"/>
          <w:i w:val="0"/>
          <w:sz w:val="21"/>
          <w:u w:val="none"/>
          <w:lang w:eastAsia="zh-CN"/>
        </w:rPr>
        <w:t>开放式基金的认购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1.开放式基金的认购步骤</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（1）认购：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①通过管理人或其委托的商业银行、证券公司等代为办理；</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②全额缴款，可多次认购，一经受理不得撤销。</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（2）确认：</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①T日提交申请，一般可于T+2日查询认购申请的受理情况；</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②若认购申请无效，资金退回。</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2.开放式基金的认购方式：金额认购。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3.开放式基金的认购费率和收费模式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目前，我国股票型基金的认购费率一般按照认购金额设置不同的费率标准，最高一般不超过1.5%，债券型基金的认购费率通常在1%以下，货币型基金一般认购费为0。</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在基金份额认购上存在两种收费模式：前端收费模式和后端收费模式。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4.开放式基金认购费用与认购份额的计算</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基金认购费用与认购份额的计算公式为：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净认购金额=认购金额/（1+认购费率）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认购费用=认购金额-净认购金额</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对于适用固定金额认购费的认购：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认购费用=固定认购费金额</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认购份额=（净认购金额+认购利息）/基金份额面值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考点二</w:t>
      </w:r>
      <w:r>
        <w:rPr>
          <w:rFonts w:hint="eastAsia" w:ascii="宋体" w:hAnsi="宋体" w:eastAsia="宋体" w:cs="宋体"/>
        </w:rPr>
        <w:t xml:space="preserve"> </w:t>
      </w:r>
      <w:r>
        <w:rPr>
          <w:rFonts w:hint="eastAsia" w:ascii="宋体" w:hAnsi="宋体" w:eastAsia="宋体" w:cs="宋体"/>
          <w:b w:val="0"/>
          <w:i w:val="0"/>
          <w:sz w:val="21"/>
          <w:u w:val="none"/>
          <w:lang w:eastAsia="zh-CN"/>
        </w:rPr>
        <w:t>封闭式基金的认购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在发售方式上，主要有网上发售和网下发售两种方式。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目前募集的封闭式基金通常为创新封闭式基金。</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创新型封闭式基金按1.00元募集，外加券商自行按认购费率收取认购费方式进行，投资人以“份额”为单位提交认购申请。</w:t>
      </w:r>
    </w:p>
    <w:p>
      <w:pPr>
        <w:numPr>
          <w:ilvl w:val="0"/>
          <w:numId w:val="0"/>
        </w:numPr>
        <w:overflowPunct w:val="0"/>
        <w:ind w:leftChars="0"/>
        <w:jc w:val="left"/>
        <w:textAlignment w:val="auto"/>
        <w:rPr>
          <w:rFonts w:hint="eastAsia" w:ascii="宋体" w:hAnsi="宋体" w:eastAsia="宋体" w:cs="宋体"/>
        </w:rPr>
      </w:pPr>
      <w:r>
        <w:rPr>
          <w:rFonts w:hint="eastAsia" w:ascii="宋体" w:hAnsi="宋体" w:eastAsia="宋体" w:cs="宋体"/>
          <w:b w:val="0"/>
          <w:i w:val="0"/>
          <w:sz w:val="21"/>
          <w:u w:val="none"/>
          <w:lang w:eastAsia="zh-CN"/>
        </w:rPr>
        <w:t>认购申请一经受理就不能撤单。</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考点三</w:t>
      </w:r>
      <w:r>
        <w:rPr>
          <w:rFonts w:hint="eastAsia" w:ascii="宋体" w:hAnsi="宋体" w:eastAsia="宋体" w:cs="宋体"/>
        </w:rPr>
        <w:t xml:space="preserve"> </w:t>
      </w:r>
      <w:r>
        <w:rPr>
          <w:rFonts w:hint="eastAsia" w:ascii="宋体" w:hAnsi="宋体" w:eastAsia="宋体" w:cs="宋体"/>
          <w:b w:val="0"/>
          <w:i w:val="0"/>
          <w:sz w:val="21"/>
          <w:u w:val="none"/>
          <w:lang w:eastAsia="zh-CN"/>
        </w:rPr>
        <w:t xml:space="preserve"> QDII基金份额的认购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1.认购程序：开户、认购、确认</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QDII基金份额的认购程序、认购渠道与一般开放式基金基本相同。</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2.QDII基金主要投资于境外市场，有以下几点独特之处：</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（1）发售QDII基金的基金管理人必须具备合格境内机构投资者资格和经营外汇业务资格。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（2）基金管理人可以根据产品特点确定QDII基金份额面值的大小。</w:t>
      </w:r>
    </w:p>
    <w:p>
      <w:pPr>
        <w:numPr>
          <w:ilvl w:val="0"/>
          <w:numId w:val="0"/>
        </w:numPr>
        <w:overflowPunct w:val="0"/>
        <w:ind w:leftChars="0"/>
        <w:jc w:val="left"/>
        <w:textAlignment w:val="auto"/>
        <w:rPr>
          <w:rFonts w:hint="eastAsia" w:ascii="宋体" w:hAnsi="宋体" w:eastAsia="宋体" w:cs="宋体"/>
        </w:rPr>
      </w:pPr>
      <w:r>
        <w:rPr>
          <w:rFonts w:hint="eastAsia" w:ascii="宋体" w:hAnsi="宋体" w:eastAsia="宋体" w:cs="宋体"/>
          <w:b w:val="0"/>
          <w:i w:val="0"/>
          <w:sz w:val="21"/>
          <w:u w:val="none"/>
          <w:lang w:eastAsia="zh-CN"/>
        </w:rPr>
        <w:t>（3）QDII 基金份额除可以用人民币认购外，也可以用美元或其他外汇货币为计价货币认购。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考点四</w:t>
      </w:r>
      <w:r>
        <w:rPr>
          <w:rFonts w:hint="eastAsia" w:ascii="宋体" w:hAnsi="宋体" w:eastAsia="宋体" w:cs="宋体"/>
        </w:rPr>
        <w:t xml:space="preserve"> </w:t>
      </w:r>
      <w:r>
        <w:rPr>
          <w:rFonts w:hint="eastAsia" w:ascii="宋体" w:hAnsi="宋体" w:eastAsia="宋体" w:cs="宋体"/>
          <w:b w:val="0"/>
          <w:i w:val="0"/>
          <w:sz w:val="21"/>
          <w:u w:val="none"/>
          <w:lang w:eastAsia="zh-CN"/>
        </w:rPr>
        <w:t>ETF 和 LOF 份额的认购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1.ETF份额的认购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ETF份额的认购又可分为现金认购和证券认购。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投资者一般可选择场内现金认购、场外现金认购以及证券认购等方式认购ETF份额。</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2.LOF份额认购</w:t>
      </w:r>
    </w:p>
    <w:p>
      <w:pPr>
        <w:numPr>
          <w:ilvl w:val="0"/>
          <w:numId w:val="0"/>
        </w:numPr>
        <w:overflowPunct/>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目前，我国只有深圳证券交易所开办LOF业务。</w:t>
      </w:r>
    </w:p>
    <w:tbl>
      <w:tblPr>
        <w:tblStyle w:val="6"/>
        <w:tblW w:w="0" w:type="auto"/>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c>
          <w:tcPr>
            <w:tcW w:w="2840" w:type="dxa"/>
            <w:vMerge w:val="restart"/>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i w:val="0"/>
                <w:color w:val="000000"/>
                <w:sz w:val="21"/>
                <w:u w:val="none"/>
                <w:vertAlign w:val="baseline"/>
                <w:lang w:eastAsia="zh-CN"/>
              </w:rPr>
            </w:pPr>
          </w:p>
          <w:p>
            <w:pPr>
              <w:numPr>
                <w:ilvl w:val="0"/>
                <w:numId w:val="0"/>
              </w:numPr>
              <w:overflowPunct/>
              <w:ind w:leftChars="0"/>
              <w:jc w:val="left"/>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LOF份额认购</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认购方式</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注册登记</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val="0"/>
              <w:jc w:val="left"/>
              <w:textAlignment w:val="auto"/>
              <w:rPr>
                <w:rFonts w:hint="eastAsia" w:ascii="宋体" w:hAnsi="宋体" w:eastAsia="宋体" w:cs="宋体"/>
                <w:b w:val="0"/>
                <w:i w:val="0"/>
                <w:color w:val="000000"/>
                <w:sz w:val="21"/>
                <w:u w:val="none"/>
                <w:vertAlign w:val="baseline"/>
                <w:lang w:eastAsia="zh-CN"/>
              </w:rPr>
            </w:pP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场外认购</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开放式基金注册登记系统</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val="0"/>
              <w:jc w:val="left"/>
              <w:textAlignment w:val="auto"/>
              <w:rPr>
                <w:rFonts w:hint="eastAsia" w:ascii="宋体" w:hAnsi="宋体" w:eastAsia="宋体" w:cs="宋体"/>
                <w:b w:val="0"/>
                <w:i w:val="0"/>
                <w:color w:val="000000"/>
                <w:sz w:val="21"/>
                <w:u w:val="none"/>
                <w:vertAlign w:val="baseline"/>
                <w:lang w:eastAsia="zh-CN"/>
              </w:rPr>
            </w:pP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场内认购</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证券登记结算系统</w:t>
            </w:r>
          </w:p>
        </w:tc>
      </w:tr>
    </w:tbl>
    <w:p>
      <w:pPr>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五</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封闭式基金的上市与交易</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封闭式基金募集成立后，即安排在证券交易所上市。</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1.交易账户的开立</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投资者买卖封闭式基金必须开立沪、深证券账户或沪、深基金账户及资金账户。基金账户只能用于基金、国债及其他债券的认购及交易。</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个人投资者开立基金账户需持本人身份证到证券登记机构办理开户手续。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每个有效证件在同一市场可以开立3个封闭式基金账户。</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每位投资者只能开设和使用一个资金账户。</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2.上市交易条件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封闭式基金份额上市交易，应当符合下列条件：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(1)基金的募集符合《证券投资基金法》规定；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(2)基金合同期限为5年以上；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(3)基金募集金额不低于2亿元人民币；</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(4)基金份额持有人不少于1 000人；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(5)基金份额上市交易规则规定的其他条件</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3.交易规则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（1）封闭式基金的交易时间为每周一至周五(法定公众节假日除外)，每天 9：30-11：30，13：00-15：00。封闭式基金的交易遵从“价格优先、时间优先”的原则。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（2）封闭式基金的报价单位为每份基金价格。买入与卖出封闭式基金份额，申报数量应当为100份或其整数倍，基金单笔最大数量应当低于100万份，基金的申报价格最小变动单位为0.001元人民币。</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4.折(溢)价率</w:t>
      </w:r>
      <w:r>
        <w:rPr>
          <w:rFonts w:hint="eastAsia" w:ascii="宋体" w:hAnsi="宋体" w:eastAsia="宋体" w:cs="宋体"/>
          <w:b w:val="0"/>
          <w:i w:val="0"/>
          <w:sz w:val="21"/>
          <w:u w:val="none"/>
          <w:lang w:eastAsia="zh-CN"/>
        </w:rPr>
        <w:tab/>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折(溢)价率的计算公式为：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折（溢）价率=（二级市场价格-基金份额净值）/基金份额净值×100%</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=（二级市场价格/基金份额净值-1）×100%</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六</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开放式基金的申购、赎回、转换及特殊业务处理</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1.封闭期及基金开放申购和赎回</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开放式基金合同生效后，可以在基金合同和招募说明书规定的期限内不办理赎回，但该期限最长不超过3个月。</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投资者在开放式基金合同生效后，申请购买基金份额的行为通常被称为基金的申购。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基金认购与基金申购略有不同，一般区别在于：</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（1）认购费一般低于申购费，在基金募集期内认购基金份额，一般会享受到一定的费率优惠。</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（2）认购是按1元进行认购，而申购通常是按未知价确认。</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（3）认购份额要在基金合同生效时确认，并且有封闭期；而申购份额通常在T+2日之内确认，确认后的下一工作日就可以赎回。</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2.开放式基金的申购和赎回原则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（1）股票基金、债券基金的申购和赎回原则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①未知价交易原则。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②金额申购、份额赎回原则。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（2）货币市场基金的申购和赎回原则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①)确定价原则。货币市场基金申购和赎回基金份额价格以1元人民币为基准进行计算。</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②金额申购、份额赎回原则。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3.申购和赎回的费用及销售服务费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（1）申购费用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投资者在办理开放式基金申购时，一般需要缴纳申购费，申购费可以采用在基金份额申购时收取的前端收费方式，也可以采用在赎回时从赎回金额中扣除的后端收费方式。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前端收费方式下，基金管理人可以选择根据投资人申购金额分段设置申购费率。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后端收费方式下，基金管理人可以选择根据投资人持有期限不同分段设置申购费，对于持有期低于3年的投资人，基金管理人不得免收其后端申购费。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基金销售机构可以对基金销售费用实行一定的优惠。</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（2）赎回费用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场外赎回可按份额在场外的持有时间分段设置赎回费率；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场内赎回为固定赎回费率，不可按份额持有时间分段设置赎回费率。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赎回费在扣除手续费后，余额不得低于赎回费总额的25%，并应当归入基金财产。</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目前对于不收取服务费的一般股票型和混合型基金赎回费归入基金财产的比例有以下规定：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val="0"/>
              <w:ind w:leftChars="0"/>
              <w:jc w:val="left"/>
              <w:textAlignment w:val="auto"/>
              <w:rPr>
                <w:rFonts w:hint="eastAsia" w:ascii="宋体" w:hAnsi="宋体" w:eastAsia="宋体" w:cs="宋体"/>
                <w:b w:val="0"/>
                <w:i w:val="0"/>
                <w:color w:val="000000"/>
                <w:sz w:val="21"/>
                <w:u w:val="none"/>
                <w:vertAlign w:val="baseline"/>
                <w:lang w:eastAsia="zh-CN"/>
              </w:rPr>
            </w:pP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赎回费</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i w:val="0"/>
                <w:color w:val="000000"/>
                <w:sz w:val="21"/>
                <w:u w:val="none"/>
                <w:vertAlign w:val="baseline"/>
                <w:lang w:eastAsia="zh-CN"/>
              </w:rPr>
            </w:pPr>
            <w:r>
              <w:rPr>
                <w:rFonts w:hint="eastAsia" w:ascii="宋体" w:hAnsi="宋体" w:eastAsia="宋体" w:cs="宋体"/>
                <w:b/>
                <w:i w:val="0"/>
                <w:color w:val="000000"/>
                <w:sz w:val="21"/>
                <w:u w:val="none"/>
                <w:vertAlign w:val="baseline"/>
                <w:lang w:eastAsia="zh-CN"/>
              </w:rPr>
              <w:t>计入基金财产的比例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少于7天</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≥1.5%</w:t>
            </w:r>
          </w:p>
        </w:tc>
        <w:tc>
          <w:tcPr>
            <w:tcW w:w="2841" w:type="dxa"/>
            <w:vMerge w:val="restart"/>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p>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全额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7天~30天</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≥0.75%</w:t>
            </w:r>
          </w:p>
        </w:tc>
        <w:tc>
          <w:tcPr>
            <w:tcW w:w="2841" w:type="dxa"/>
            <w:vMerge w:val="continue"/>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val="0"/>
              <w:jc w:val="left"/>
              <w:textAlignment w:val="auto"/>
              <w:rPr>
                <w:rFonts w:hint="eastAsia" w:ascii="宋体" w:hAnsi="宋体" w:eastAsia="宋体" w:cs="宋体"/>
                <w:b w:val="0"/>
                <w:i w:val="0"/>
                <w:color w:val="000000"/>
                <w:sz w:val="21"/>
                <w:u w:val="none"/>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30天~3个月</w:t>
            </w:r>
          </w:p>
        </w:tc>
        <w:tc>
          <w:tcPr>
            <w:tcW w:w="2841" w:type="dxa"/>
            <w:vMerge w:val="restart"/>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p>
          <w:p>
            <w:pPr>
              <w:numPr>
                <w:ilvl w:val="0"/>
                <w:numId w:val="0"/>
              </w:numPr>
              <w:overflowPunct/>
              <w:jc w:val="left"/>
              <w:textAlignment w:val="auto"/>
              <w:rPr>
                <w:rFonts w:hint="eastAsia" w:ascii="宋体" w:hAnsi="宋体" w:eastAsia="宋体" w:cs="宋体"/>
                <w:b w:val="0"/>
                <w:i w:val="0"/>
                <w:color w:val="000000"/>
                <w:sz w:val="21"/>
                <w:u w:val="none"/>
                <w:vertAlign w:val="baseline"/>
                <w:lang w:eastAsia="zh-CN"/>
              </w:rPr>
            </w:pPr>
          </w:p>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≥0.5%</w:t>
            </w: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3个月~6个月</w:t>
            </w:r>
          </w:p>
        </w:tc>
        <w:tc>
          <w:tcPr>
            <w:tcW w:w="2841" w:type="dxa"/>
            <w:vMerge w:val="continue"/>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val="0"/>
              <w:jc w:val="left"/>
              <w:textAlignment w:val="auto"/>
              <w:rPr>
                <w:rFonts w:hint="eastAsia" w:ascii="宋体" w:hAnsi="宋体" w:eastAsia="宋体" w:cs="宋体"/>
                <w:b w:val="0"/>
                <w:i w:val="0"/>
                <w:color w:val="000000"/>
                <w:sz w:val="21"/>
                <w:u w:val="none"/>
                <w:vertAlign w:val="baseline"/>
                <w:lang w:eastAsia="zh-CN"/>
              </w:rPr>
            </w:pP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6个月以上</w:t>
            </w:r>
          </w:p>
        </w:tc>
        <w:tc>
          <w:tcPr>
            <w:tcW w:w="2841" w:type="dxa"/>
            <w:vMerge w:val="continue"/>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val="0"/>
              <w:jc w:val="left"/>
              <w:textAlignment w:val="auto"/>
              <w:rPr>
                <w:rFonts w:hint="eastAsia" w:ascii="宋体" w:hAnsi="宋体" w:eastAsia="宋体" w:cs="宋体"/>
                <w:b w:val="0"/>
                <w:i w:val="0"/>
                <w:color w:val="000000"/>
                <w:sz w:val="21"/>
                <w:u w:val="none"/>
                <w:vertAlign w:val="baseline"/>
                <w:lang w:eastAsia="zh-CN"/>
              </w:rPr>
            </w:pPr>
          </w:p>
        </w:tc>
        <w:tc>
          <w:tcPr>
            <w:tcW w:w="2841"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numPr>
                <w:ilvl w:val="0"/>
                <w:numId w:val="0"/>
              </w:numPr>
              <w:overflowPunct/>
              <w:ind w:leftChars="0"/>
              <w:jc w:val="left"/>
              <w:textAlignment w:val="auto"/>
              <w:rPr>
                <w:rFonts w:hint="eastAsia" w:ascii="宋体" w:hAnsi="宋体" w:eastAsia="宋体" w:cs="宋体"/>
                <w:b w:val="0"/>
                <w:i w:val="0"/>
                <w:color w:val="000000"/>
                <w:sz w:val="21"/>
                <w:u w:val="none"/>
                <w:vertAlign w:val="baseline"/>
                <w:lang w:eastAsia="zh-CN"/>
              </w:rPr>
            </w:pPr>
            <w:r>
              <w:rPr>
                <w:rFonts w:hint="eastAsia" w:ascii="宋体" w:hAnsi="宋体" w:eastAsia="宋体" w:cs="宋体"/>
                <w:b w:val="0"/>
                <w:i w:val="0"/>
                <w:color w:val="000000"/>
                <w:sz w:val="21"/>
                <w:u w:val="none"/>
                <w:vertAlign w:val="baseline"/>
                <w:lang w:eastAsia="zh-CN"/>
              </w:rPr>
              <w:t>≥0.25</w:t>
            </w:r>
          </w:p>
        </w:tc>
      </w:tr>
    </w:tbl>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（3）销售服务费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基金管理人可以从开放式基金财产中计提一定比例的销售服务费，用于基金的持续销售和给基金份额持有人提供服务。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七</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申购份额及赎回金额的计算</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（1）申购费用及申购份额</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净申购金额=申购金额/（1+申购费率）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申购费用=申购金额-净申购金额</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申购份额=净申购金额/申购当日基金份额净值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当申购费用为固定金额时，申购份额的计算方法如下:</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净申购金额=申购金额-固定金额</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申购份额=净申购金额/T日基金份额净值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（2）赎回金额的确定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赎回金额的计算公式如下：</w:t>
      </w:r>
    </w:p>
    <w:p>
      <w:pPr>
        <w:numPr>
          <w:ilvl w:val="0"/>
          <w:numId w:val="0"/>
        </w:numPr>
        <w:overflowPunct w:val="0"/>
        <w:ind w:leftChars="0"/>
        <w:jc w:val="both"/>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赎回金额 = 赎回总额 - 赎回费用</w:t>
      </w:r>
    </w:p>
    <w:p>
      <w:pPr>
        <w:numPr>
          <w:ilvl w:val="0"/>
          <w:numId w:val="0"/>
        </w:numPr>
        <w:overflowPunct w:val="0"/>
        <w:ind w:leftChars="0"/>
        <w:jc w:val="both"/>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赎回总额 = 赎回数量 × 赎回日基金份额净值</w:t>
      </w:r>
    </w:p>
    <w:p>
      <w:pPr>
        <w:numPr>
          <w:ilvl w:val="0"/>
          <w:numId w:val="0"/>
        </w:numPr>
        <w:overflowPunct w:val="0"/>
        <w:ind w:leftChars="0"/>
        <w:jc w:val="both"/>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赎回费用 = 赎回总额 × 赎回费率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（3）货币市场基金的手续费</w:t>
      </w:r>
    </w:p>
    <w:p>
      <w:pPr>
        <w:numPr>
          <w:ilvl w:val="0"/>
          <w:numId w:val="0"/>
        </w:numPr>
        <w:overflowPunct w:val="0"/>
        <w:ind w:leftChars="0"/>
        <w:jc w:val="left"/>
        <w:textAlignment w:val="auto"/>
        <w:rPr>
          <w:rFonts w:hint="eastAsia" w:ascii="宋体" w:hAnsi="宋体" w:eastAsia="宋体" w:cs="宋体"/>
          <w:b/>
          <w:bCs/>
          <w:color w:val="4472C4" w:themeColor="accent1"/>
          <w:lang w:val="en-US" w:eastAsia="zh-CN"/>
          <w14:textFill>
            <w14:solidFill>
              <w14:schemeClr w14:val="accent1"/>
            </w14:solidFill>
          </w14:textFill>
        </w:rPr>
      </w:pPr>
      <w:r>
        <w:rPr>
          <w:rFonts w:hint="eastAsia" w:ascii="宋体" w:hAnsi="宋体" w:eastAsia="宋体" w:cs="宋体"/>
          <w:b w:val="0"/>
          <w:i w:val="0"/>
          <w:sz w:val="21"/>
          <w:u w:val="none"/>
          <w:lang w:eastAsia="zh-CN"/>
        </w:rPr>
        <w:t>货币市场基金手续费较低，通常申购和赎回费率为0。一般地，货币市场基金从基金财产中计提比例不高于0.25%的销售服务费，用于基金的持续销售和给基金份额持有人提供服务。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八</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开放式基金巨额赎回的认定及处理</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（1）巨额赎回的认定</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单个开放日基金净赎回申请超过基金总份额的10%时，为巨额赎回。</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单个开放日的净赎回申请 = 该基金的赎回申请+基金转换中该基金的转出申请-（当日发生的该基金申购申请+基金转换中该基金的转入申请）</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（2）巨额赎回的处理</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①接受全额赎回。</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②部分延期赎回。在当日接受赎回比例不低于上一日基金总份额10%的前提下，对其余赎回申请延期办理。</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当发生巨额赎回及部分延期赎回时，基金管理人应立即向中国证监会备案，并在 3 个工作日内在至少一种中国证监会指定的信息披露媒体公告，并说明有关处理方法。</w:t>
      </w:r>
    </w:p>
    <w:p>
      <w:pPr>
        <w:numPr>
          <w:ilvl w:val="0"/>
          <w:numId w:val="0"/>
        </w:numPr>
        <w:overflowPunct w:val="0"/>
        <w:ind w:leftChars="0"/>
        <w:jc w:val="left"/>
        <w:textAlignment w:val="auto"/>
        <w:rPr>
          <w:rFonts w:hint="eastAsia" w:ascii="宋体" w:hAnsi="宋体" w:eastAsia="宋体" w:cs="宋体"/>
        </w:rPr>
      </w:pPr>
      <w:r>
        <w:rPr>
          <w:rFonts w:hint="eastAsia" w:ascii="宋体" w:hAnsi="宋体" w:eastAsia="宋体" w:cs="宋体"/>
          <w:b w:val="0"/>
          <w:i w:val="0"/>
          <w:sz w:val="21"/>
          <w:u w:val="none"/>
          <w:lang w:eastAsia="zh-CN"/>
        </w:rPr>
        <w:t>连续2个开放日以上发生巨额赎回，可暂停接受赎回；已接受的赎回申请可延缓支付赎回款项，不得超过正常支付时间20个工作日。</w:t>
      </w:r>
    </w:p>
    <w:p>
      <w:pPr>
        <w:numPr>
          <w:ilvl w:val="0"/>
          <w:numId w:val="0"/>
        </w:numPr>
        <w:overflowPunct w:val="0"/>
        <w:ind w:leftChars="0"/>
        <w:jc w:val="left"/>
        <w:textAlignment w:val="auto"/>
        <w:rPr>
          <w:rFonts w:hint="eastAsia" w:ascii="宋体" w:hAnsi="宋体" w:eastAsia="宋体" w:cs="宋体"/>
          <w:b/>
          <w:bCs/>
          <w:color w:val="4472C4" w:themeColor="accent1"/>
          <w:lang w:val="en-US" w:eastAsia="zh-CN"/>
          <w14:textFill>
            <w14:solidFill>
              <w14:schemeClr w14:val="accent1"/>
            </w14:solidFill>
          </w14:textFill>
        </w:rPr>
      </w:pP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九</w:t>
      </w:r>
      <w:r>
        <w:rPr>
          <w:rFonts w:hint="eastAsia" w:ascii="宋体" w:hAnsi="宋体" w:eastAsia="宋体" w:cs="宋体"/>
          <w:b w:val="0"/>
          <w:i w:val="0"/>
          <w:sz w:val="21"/>
          <w:u w:val="none"/>
          <w:lang w:eastAsia="zh-CN"/>
        </w:rPr>
        <w:t>ETF  的上市交易与申购、赎回</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val="en-US" w:eastAsia="zh-CN"/>
        </w:rPr>
        <w:t>1</w:t>
      </w:r>
      <w:r>
        <w:rPr>
          <w:rFonts w:hint="eastAsia" w:ascii="宋体" w:hAnsi="宋体" w:eastAsia="宋体" w:cs="宋体"/>
          <w:b w:val="0"/>
          <w:i w:val="0"/>
          <w:sz w:val="21"/>
          <w:u w:val="none"/>
          <w:lang w:eastAsia="zh-CN"/>
        </w:rPr>
        <w:t>.ETF 份额的上市交易</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ETF 上市后二级市场的交易与封闭式基金类似，要遵循下列交易规则：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(1)基金上市首日的开盘参考价为前一工作日基金份额净值；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(2)基金实行价格涨跌幅限制，涨跌幅比例为10%，自上市首日起实行；</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(3)基金买入申报数量为 100 份或其整数倍，不足 100 份的部分可以卖出；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(4)基金申报价格最小变动单位为 0.001 元。</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val="en-US" w:eastAsia="zh-CN"/>
        </w:rPr>
        <w:t>2</w:t>
      </w:r>
      <w:r>
        <w:rPr>
          <w:rFonts w:hint="eastAsia" w:ascii="宋体" w:hAnsi="宋体" w:eastAsia="宋体" w:cs="宋体"/>
          <w:b w:val="0"/>
          <w:i w:val="0"/>
          <w:sz w:val="21"/>
          <w:u w:val="none"/>
          <w:lang w:eastAsia="zh-CN"/>
        </w:rPr>
        <w:t>.ETF 份额的申购与赎回</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（1）申购和赎回的原则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①场内申购和赎回 ETF 采用份额申购、份额赎回的方式，场外申购赎回釆用金额申购、份额赎回的方式。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②场内申购赎回 ETF 的申购对价和赎回对价包括组合证券、现金替代、现金差额及其他对价。场外申购赎回 ETF 时，申购对价和赎回对价均为现金。</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②申购和赎回申请提交后不得撤销。</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（2）申购清单和赎回清单</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①申购清单和赎回清单的内容。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②组合证券相关内容。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②现金替代相关内容： 禁止现金替代；可以现金替代；必须现金替代。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LOF  的上市交易、申购与赎回</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1.LOF 的上市交易</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LOF 采取“金额申购、份额赎回”原则。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2.LOF 份额转托管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LOF 份额的转托管业务包含两种类型：系统内转托管和跨系统转托管。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系统内转托管是指投资者将托管在某证券经营机构的 LOF 份额转托管到其他证券经营机构(场内到场内)，或将托管在某基金管理人或其代销机构的 LOF 份额转托管到其他基金代销机构或基金管理人(场外到场外)。</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跨系统转托管是指投资者将托管在某证券经营机构的 LOF 份额转托管到基金管理人或代销机构(场内到场外)，或将托管在基金管理人或其代销机构的 LOF 份额转托管到某证券经营机构(场外到场内)。</w:t>
      </w:r>
    </w:p>
    <w:p>
      <w:pPr>
        <w:numPr>
          <w:ilvl w:val="0"/>
          <w:numId w:val="0"/>
        </w:numPr>
        <w:overflowPunct w:val="0"/>
        <w:ind w:leftChars="0"/>
        <w:jc w:val="both"/>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十一</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基金的登记</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（一）开放式基金份额登记的概念</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开放式基金份额的登记，是指基金注册登记机构通过设立和维护基金份额持有人名册，确认基金份额持有人持有基金份额的事实的行为。</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基金份额登记具有确定和变更基金份额持有人及其权利的法律效力，是保障基金份额持有人合法权益的重要环节。</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（二）我国开放式基金注册登记机构及其职责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《证券投资基金法》规定，开放式基金的登记业务可以由基金管理人办理，也可以委托中国证监会认定的其他机构办理。</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1.我国开放式基金注册登记体系的模式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（1）基金管理人自建注册登记系统的“内置”模式；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（2）委托中国证券登记结算有限责任公司作为注册登记机构的“外置”模式；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（3）以上两种情况兼有的“混合”模式。</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2.基金注册登记机构的主要职责</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（1）建立并管理投资者基金份额账户；</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（2）负责基金份额登记，确认基金交易；</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（3）发放红利；</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（4）建立并保管基金投资者名册；</w:t>
      </w:r>
    </w:p>
    <w:p>
      <w:pPr>
        <w:rPr>
          <w:rFonts w:hint="eastAsia" w:ascii="宋体" w:hAnsi="宋体" w:eastAsia="宋体" w:cs="宋体"/>
        </w:rPr>
      </w:pPr>
      <w:r>
        <w:rPr>
          <w:rFonts w:hint="eastAsia" w:ascii="宋体" w:hAnsi="宋体" w:eastAsia="宋体" w:cs="宋体"/>
          <w:b w:val="0"/>
          <w:i w:val="0"/>
          <w:sz w:val="21"/>
          <w:u w:val="none"/>
          <w:lang w:eastAsia="zh-CN"/>
        </w:rPr>
        <w:t>（5）基金合同或者登记代理协议规定的其他职责</w:t>
      </w:r>
    </w:p>
    <w:p>
      <w:pPr>
        <w:jc w:val="center"/>
        <w:rPr>
          <w:rFonts w:hint="eastAsia" w:ascii="宋体" w:hAnsi="宋体" w:eastAsia="宋体" w:cs="宋体"/>
          <w:b/>
          <w:bCs/>
          <w:sz w:val="24"/>
          <w:szCs w:val="24"/>
        </w:rPr>
      </w:pPr>
      <w:r>
        <w:rPr>
          <w:rFonts w:hint="eastAsia" w:ascii="宋体" w:hAnsi="宋体" w:eastAsia="宋体" w:cs="宋体"/>
          <w:b/>
          <w:bCs/>
          <w:sz w:val="24"/>
          <w:szCs w:val="24"/>
        </w:rPr>
        <w:t>第七章</w:t>
      </w:r>
      <w:r>
        <w:rPr>
          <w:rFonts w:hint="eastAsia" w:ascii="宋体" w:hAnsi="宋体" w:eastAsia="宋体" w:cs="宋体"/>
          <w:b/>
          <w:bCs/>
          <w:sz w:val="24"/>
          <w:szCs w:val="24"/>
        </w:rPr>
        <w:t xml:space="preserve"> </w:t>
      </w:r>
      <w:r>
        <w:rPr>
          <w:rFonts w:hint="eastAsia" w:ascii="宋体" w:hAnsi="宋体" w:eastAsia="宋体" w:cs="宋体"/>
          <w:b/>
          <w:bCs/>
          <w:sz w:val="24"/>
          <w:szCs w:val="24"/>
        </w:rPr>
        <w:t>基金的信息披露</w:t>
      </w:r>
    </w:p>
    <w:p>
      <w:pPr>
        <w:numPr>
          <w:ilvl w:val="0"/>
          <w:numId w:val="0"/>
        </w:numPr>
        <w:overflowPunct w:val="0"/>
        <w:ind w:leftChars="0"/>
        <w:jc w:val="both"/>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考点一</w:t>
      </w:r>
      <w:r>
        <w:rPr>
          <w:rFonts w:hint="eastAsia" w:ascii="宋体" w:hAnsi="宋体" w:eastAsia="宋体" w:cs="宋体"/>
        </w:rPr>
        <w:t xml:space="preserve"> </w:t>
      </w:r>
      <w:r>
        <w:rPr>
          <w:rFonts w:hint="eastAsia" w:ascii="宋体" w:hAnsi="宋体" w:eastAsia="宋体" w:cs="宋体"/>
          <w:b w:val="0"/>
          <w:i w:val="0"/>
          <w:sz w:val="21"/>
          <w:u w:val="none"/>
          <w:lang w:eastAsia="zh-CN"/>
        </w:rPr>
        <w:t>基金信息披露概述</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（一）基金信息披露的含义与作用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基金信息披露是指基金市场上的有关当事人在基金募集、上市交易、投资运作等一系列环节中，依照法律法规规定向社会公众进行的信息披露。</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基金信息披露的作用主要表现在四个方面：</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（1）有利于投资者的价值判断</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（2）有利于防止利益冲突与利益输送</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（3）有利于提高证券市场的效率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（4）能有效防止信息滥用</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（二）基金信息披露的原则和制度体系</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1.披露内容方面应遵循的基本原则【“真准完及公”】</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（1）真实性原则  </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（2）准确性原则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（3）完整性原则  </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（4）及时性原则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（5）公平性原则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2.披露形式方面应遵循的基本原则【“范易易”】</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（1）规范性原则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（2）易解性原则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（3）易得性原则</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3.我国的基金信息披露制度体系可分为国家法律、部门规章、规范性文件与自律规则四个层次。</w:t>
      </w:r>
    </w:p>
    <w:p>
      <w:pPr>
        <w:jc w:val="left"/>
        <w:rPr>
          <w:rFonts w:hint="eastAsia" w:ascii="宋体" w:hAnsi="宋体" w:eastAsia="宋体" w:cs="宋体"/>
        </w:rPr>
      </w:pP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考点二</w:t>
      </w:r>
      <w:r>
        <w:rPr>
          <w:rFonts w:hint="eastAsia" w:ascii="宋体" w:hAnsi="宋体" w:eastAsia="宋体" w:cs="宋体"/>
          <w:b w:val="0"/>
          <w:i w:val="0"/>
          <w:sz w:val="21"/>
          <w:u w:val="none"/>
          <w:lang w:eastAsia="zh-CN"/>
        </w:rPr>
        <w:t>基金份额持有人的信息披露义务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1.基金份额持有人的信息披露义务主要体现在与份额持有人大会相关的披露义务。</w:t>
      </w:r>
    </w:p>
    <w:p>
      <w:pPr>
        <w:jc w:val="left"/>
        <w:rPr>
          <w:rFonts w:hint="eastAsia" w:ascii="宋体" w:hAnsi="宋体" w:eastAsia="宋体" w:cs="宋体"/>
        </w:rPr>
      </w:pPr>
      <w:r>
        <w:rPr>
          <w:rFonts w:hint="eastAsia" w:ascii="宋体" w:hAnsi="宋体" w:eastAsia="宋体" w:cs="宋体"/>
          <w:b w:val="0"/>
          <w:i w:val="0"/>
          <w:sz w:val="21"/>
          <w:u w:val="none"/>
          <w:lang w:eastAsia="zh-CN"/>
        </w:rPr>
        <w:t>2.当代表基金份额10%以上的基金份额持有人召集基金份额持有人大会应至少提前30日公告持有人大会的召开时间、会议形式、审议事项、议事程序和表决方式等事项。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 xml:space="preserve">考点三 </w:t>
      </w:r>
      <w:r>
        <w:rPr>
          <w:rFonts w:hint="eastAsia" w:ascii="宋体" w:hAnsi="宋体" w:eastAsia="宋体" w:cs="宋体"/>
          <w:b w:val="0"/>
          <w:i w:val="0"/>
          <w:sz w:val="21"/>
          <w:u w:val="none"/>
          <w:lang w:eastAsia="zh-CN"/>
        </w:rPr>
        <w:t>基金管理人的信息披露义务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向中国证监会提交基金合同草案、托管协议草案、招募说明书草案等募集申请材料。在基金份额发售的3日前，将基金份额发售公告、基金招募说明书提示性公告和基金合同提示性公告登载在指定报刊上，将基金份额发售公告、基金招募说明书、基金产品资料概要、基金合同和基金托管协议登载在管理人网站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2.在基金合同生效的次日，在指定报刊和管理人网站上登载基金合同生效公告。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3.基金合同生效后，基金招募说明书、基金产品资料概要的信息发生重大变更的，基金管理人应当在3个工作日内，更新基金招募说明书和基金产品资料概要，并登载在指定网站上。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4.基金拟在证券交易所上市的，应向交易所提交上市交易公告书等上市申请材料。基金获准上市的，应在上市日前3个工作日，将基金份额上市交易公告书登载在指定报刊、和管理人网站上。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ETF 上市交易后，其管理人应在每日开市前向证券交易所和证券登记结算公司提供申购、赎回清单，并在指定的信息发布渠道上公告。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5.至少每周公告一次封闭式基金的资产净值和份额净值。开放式基金在开始办理申购或者赎回前，至少每周公告一次资产净值和份额净值；开放申购赎回后，应于每个开放日的次日披露基金份额净值和份额累计净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6.在每年结束后90日内，在规定报刊上披露年度报告提示性公告，在管理人网站上披露年度报告全文。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在上半年结束后60日内，在规定报刊上披露中期报告提示性公告，在管理人网站上披露中期报告全文。</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在每季结束后15个工作日内，在规定报刊上披露季度报告提示性公告，在管理人网站上披露基金季度报告。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对于当期基金合同生效不足2个月的基金，可以不编制上述定期报告。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7.当发生对基金份额持有人权益或者基金价格产生重大影响的事件时，应在 2 日内编制并披露临时报告书，并分别报中国证监会及地方监管局备案。封闭式基金还应在披露临时报告前，送基金上市的证券交易所审核。</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8.管理人召集基金份额持有人大会的，应至少提前30日公告大会的召开时间、会议形式、审议事项、议事程序和表决方式等事项。会议召开后，应将持有人大会决定的事项报中国证监会核准或备案，并予公告。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四</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i w:val="0"/>
          <w:sz w:val="21"/>
          <w:u w:val="none"/>
          <w:lang w:eastAsia="zh-CN"/>
        </w:rPr>
        <w:t>基金托管人的信息披露义务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1.在基金份额发售的3日前，将基金合同、托管协议登载在托管人网站上。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2.对基金管理人编制的基金资产净值、份额净值、申购赎回价格、基金定期报告和定期更新的招募说明书等公开披露的相关基金信息进行复核、审查，并向基金管理人出具书面文件或者盖章确认。</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 当基金发生涉及托管人及托管业务的重大事件时，托管人应当在事件发生之日起2日内编制并披露临时公告书，并报中国证监会及地方监管局备案。</w:t>
      </w:r>
    </w:p>
    <w:p>
      <w:pPr>
        <w:numPr>
          <w:ilvl w:val="0"/>
          <w:numId w:val="0"/>
        </w:numPr>
        <w:overflowPunct w:val="0"/>
        <w:ind w:leftChars="0"/>
        <w:jc w:val="left"/>
        <w:textAlignment w:val="auto"/>
        <w:rPr>
          <w:rFonts w:hint="eastAsia" w:ascii="宋体" w:hAnsi="宋体" w:eastAsia="宋体" w:cs="宋体"/>
        </w:rPr>
      </w:pPr>
      <w:r>
        <w:rPr>
          <w:rFonts w:hint="eastAsia" w:ascii="宋体" w:hAnsi="宋体" w:eastAsia="宋体" w:cs="宋体"/>
          <w:b w:val="0"/>
          <w:i w:val="0"/>
          <w:sz w:val="21"/>
          <w:u w:val="none"/>
          <w:lang w:eastAsia="zh-CN"/>
        </w:rPr>
        <w:t>4.托管人召集基金份额持有人大会的，应至少提前30日公告大会的召开时间、会议形式、审议事项、议事程序和表决方式等事项。会议召开后，应将持有人大会决定的事项报中国证监会核准或备案，并予公告。</w:t>
      </w:r>
    </w:p>
    <w:p>
      <w:pPr>
        <w:numPr>
          <w:ilvl w:val="0"/>
          <w:numId w:val="0"/>
        </w:numPr>
        <w:overflowPunct w:val="0"/>
        <w:ind w:leftChars="0"/>
        <w:jc w:val="both"/>
        <w:textAlignment w:val="auto"/>
        <w:rPr>
          <w:rFonts w:hint="eastAsia" w:ascii="宋体" w:hAnsi="宋体" w:eastAsia="宋体" w:cs="宋体"/>
          <w:b w:val="0"/>
          <w:i w:val="0"/>
          <w:sz w:val="21"/>
          <w:u w:val="none"/>
          <w:lang w:eastAsia="zh-CN"/>
        </w:rPr>
      </w:pPr>
      <w:r>
        <w:rPr>
          <w:rFonts w:hint="eastAsia" w:ascii="宋体" w:hAnsi="宋体" w:eastAsia="宋体" w:cs="宋体"/>
          <w:b/>
          <w:bCs/>
          <w:color w:val="4472C4" w:themeColor="accent1"/>
          <w14:textFill>
            <w14:solidFill>
              <w14:schemeClr w14:val="accent1"/>
            </w14:solidFill>
          </w14:textFill>
        </w:rPr>
        <w:t>考点五</w:t>
      </w:r>
      <w:r>
        <w:rPr>
          <w:rFonts w:hint="eastAsia" w:ascii="宋体" w:hAnsi="宋体" w:eastAsia="宋体" w:cs="宋体"/>
        </w:rPr>
        <w:t xml:space="preserve"> </w:t>
      </w:r>
      <w:r>
        <w:rPr>
          <w:rFonts w:hint="eastAsia" w:ascii="宋体" w:hAnsi="宋体" w:eastAsia="宋体" w:cs="宋体"/>
          <w:b w:val="0"/>
          <w:i w:val="0"/>
          <w:sz w:val="21"/>
          <w:u w:val="none"/>
          <w:lang w:eastAsia="zh-CN"/>
        </w:rPr>
        <w:t>基金运作信息披露</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（一）基金净值公告信息披露</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普通基金净值公告主要包括基金资产净值、份额净值和份额累计净值等信息。 封闭式基金和开放式基金在披露净值公告的频率上有所不同。</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封闭式基金一般至少每周披露一次资产净值和份额净值。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对开放式基金来说，在其开放申购和赎回前, 一般至少每周披露一次基金份额净值和份额累计净值；开放申购和赎回后，则会披露每个开放日的份额净值和份额累计净值。</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（二）基金定期公告信息披露</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1.基金季度报告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基金管理人应当在每个季度结束之日起 15 个工作日内，编制完成基金季度报告，并将季度报告登载在指定报刊和网站上。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基金合同生效不足 2 个月的，基金管理人可以不编制当期季度报告、半年度报告或者年度报告。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 xml:space="preserve">    在季度报告的投资组合报告中，需要披露基金资产组合，按行业分类的股票投资组合，前十名股票明细，按券种分类的债券投资组合，前 5 名债券明细，投资贵金属、股指期货、国债期货等情况，以及投资组合报告附注等内容。</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2</w:t>
      </w:r>
      <w:r>
        <w:rPr>
          <w:rFonts w:hint="eastAsia" w:ascii="宋体" w:hAnsi="宋体" w:eastAsia="宋体" w:cs="宋体"/>
          <w:b w:val="0"/>
          <w:i w:val="0"/>
          <w:sz w:val="21"/>
          <w:u w:val="none"/>
          <w:lang w:eastAsia="zh-CN"/>
        </w:rPr>
        <w:t>.</w:t>
      </w:r>
      <w:r>
        <w:rPr>
          <w:rFonts w:hint="eastAsia" w:ascii="宋体" w:hAnsi="宋体" w:eastAsia="宋体" w:cs="宋体"/>
          <w:b w:val="0"/>
          <w:i w:val="0"/>
          <w:sz w:val="21"/>
          <w:u w:val="none"/>
          <w:lang w:eastAsia="zh-CN"/>
        </w:rPr>
        <w:t>基金中期报告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基金管理人应当在上半年结束之日起60日内，编制完成基金中期报告，并将中期报告正文登载在规定网站上，将中期报告提示性公告登载在规定报刊上。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3.基金年度报告</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基金年度报告是基金存续期信息披露中信息量最大的文件。应当在每年结束之日起90日内，编制完成基金年度报告，并将年度报告正文登载于网站上，将年度报告摘要登载在指定报刊上。基金年度报告的财务会计报告应当经过审计。</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（三）基金上市交易公告书</w:t>
      </w:r>
    </w:p>
    <w:p>
      <w:pPr>
        <w:numPr>
          <w:ilvl w:val="0"/>
          <w:numId w:val="0"/>
        </w:numPr>
        <w:overflowPunct w:val="0"/>
        <w:ind w:leftChars="0"/>
        <w:jc w:val="left"/>
        <w:textAlignment w:val="auto"/>
        <w:rPr>
          <w:rFonts w:hint="eastAsia" w:ascii="宋体" w:hAnsi="宋体" w:eastAsia="宋体" w:cs="宋体"/>
          <w:b w:val="0"/>
          <w:i w:val="0"/>
          <w:sz w:val="21"/>
          <w:u w:val="none"/>
          <w:lang w:eastAsia="zh-CN"/>
        </w:rPr>
      </w:pPr>
      <w:r>
        <w:rPr>
          <w:rFonts w:hint="eastAsia" w:ascii="宋体" w:hAnsi="宋体" w:eastAsia="宋体" w:cs="宋体"/>
          <w:b w:val="0"/>
          <w:i w:val="0"/>
          <w:sz w:val="21"/>
          <w:u w:val="none"/>
          <w:lang w:eastAsia="zh-CN"/>
        </w:rPr>
        <w:t>1.上市交易的基金有：封闭式基金、上市开放式基金（LOF）和交易型开放式指数基金（ETF）。</w:t>
      </w:r>
    </w:p>
    <w:p>
      <w:pPr>
        <w:numPr>
          <w:ilvl w:val="0"/>
          <w:numId w:val="0"/>
        </w:numPr>
        <w:overflowPunct w:val="0"/>
        <w:ind w:leftChars="0"/>
        <w:jc w:val="left"/>
        <w:textAlignment w:val="auto"/>
        <w:rPr>
          <w:rFonts w:hint="eastAsia" w:ascii="宋体" w:hAnsi="宋体" w:eastAsia="宋体" w:cs="宋体"/>
        </w:rPr>
      </w:pPr>
      <w:r>
        <w:rPr>
          <w:rFonts w:hint="eastAsia" w:ascii="宋体" w:hAnsi="宋体" w:eastAsia="宋体" w:cs="宋体"/>
          <w:b w:val="0"/>
          <w:i w:val="0"/>
          <w:sz w:val="21"/>
          <w:u w:val="none"/>
          <w:lang w:eastAsia="zh-CN"/>
        </w:rPr>
        <w:t>2.主要披露事项：持有人户数、持有人结构及前 10 名持有人、基金财务状况和重大事件揭示等。</w:t>
      </w:r>
    </w:p>
    <w:p>
      <w:pPr>
        <w:jc w:val="left"/>
        <w:rPr>
          <w:rFonts w:hint="eastAsia" w:ascii="宋体" w:hAnsi="宋体" w:eastAsia="宋体" w:cs="宋体"/>
          <w:color w:val="003399"/>
        </w:rPr>
      </w:pPr>
    </w:p>
    <w:p>
      <w:pPr>
        <w:jc w:val="left"/>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 xml:space="preserve">考点六 </w:t>
      </w:r>
      <w:r>
        <w:rPr>
          <w:rFonts w:hint="eastAsia" w:ascii="宋体" w:hAnsi="宋体" w:eastAsia="宋体" w:cs="宋体"/>
        </w:rPr>
        <w:t>QDII 基金的信息披露的特殊要求</w:t>
      </w:r>
    </w:p>
    <w:p>
      <w:pPr>
        <w:numPr>
          <w:ilvl w:val="0"/>
          <w:numId w:val="1"/>
        </w:num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QDII 基金将其全部或部分资金投资于境外证券，基金管理人可能会聘请境外投资顾问为其境外证券投资提供咨询或组合管理服务，基金托管人可能会委托境外资产托管人负责境外资产托管业务。</w:t>
      </w:r>
    </w:p>
    <w:p>
      <w:pPr>
        <w:numPr>
          <w:numId w:val="0"/>
        </w:num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2.</w:t>
      </w:r>
      <w:r>
        <w:rPr>
          <w:rFonts w:hint="eastAsia" w:ascii="宋体" w:hAnsi="宋体" w:eastAsia="宋体" w:cs="宋体"/>
          <w:sz w:val="21"/>
          <w:szCs w:val="21"/>
        </w:rPr>
        <w:t>QDII 基金在披露相关信息时，可同时采用中文和英文，并以中文为准，当涉及币种之间转换的，应披露汇率数据来源，并保持一致性。</w:t>
      </w:r>
    </w:p>
    <w:p>
      <w:pPr>
        <w:spacing w:beforeLines="50" w:beforeAutospacing="0" w:after="0"/>
        <w:rPr>
          <w:rFonts w:hint="eastAsia" w:ascii="宋体" w:hAnsi="宋体" w:eastAsia="宋体" w:cs="宋体"/>
          <w:b/>
          <w:bCs/>
          <w:sz w:val="21"/>
          <w:szCs w:val="21"/>
        </w:rPr>
      </w:pPr>
      <w:r>
        <w:rPr>
          <w:rFonts w:hint="eastAsia" w:ascii="宋体" w:hAnsi="宋体" w:eastAsia="宋体" w:cs="宋体"/>
          <w:sz w:val="21"/>
          <w:szCs w:val="21"/>
        </w:rPr>
        <w:t>3.</w:t>
      </w:r>
      <w:r>
        <w:rPr>
          <w:rFonts w:hint="eastAsia" w:ascii="宋体" w:hAnsi="宋体" w:eastAsia="宋体" w:cs="宋体"/>
          <w:bCs/>
          <w:sz w:val="21"/>
          <w:szCs w:val="21"/>
        </w:rPr>
        <w:t>基金合同、基金招募说明书中的特殊披露要求</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（1）</w:t>
      </w:r>
      <w:r>
        <w:rPr>
          <w:rFonts w:hint="eastAsia" w:ascii="宋体" w:hAnsi="宋体" w:eastAsia="宋体" w:cs="宋体"/>
          <w:sz w:val="21"/>
          <w:szCs w:val="21"/>
        </w:rPr>
        <w:t>境外投资顾问和境外托管人信息。基金管理公司在管理 QDII 基金时，如委托境外投资顾问、境外托管人，应在招募说明书中文披露境外投资顾问和境外托管人的相关信息。</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（2）</w:t>
      </w:r>
      <w:r>
        <w:rPr>
          <w:rFonts w:hint="eastAsia" w:ascii="宋体" w:hAnsi="宋体" w:eastAsia="宋体" w:cs="宋体"/>
          <w:sz w:val="21"/>
          <w:szCs w:val="21"/>
        </w:rPr>
        <w:t>投资交易信息。如 QDII 基金投资金融衍生品，应在基金合同和基金招募说明书中详细说明拟投资的衍生品种及其基本特性，拟采取的组合避险、有效管理策略以及采取的方式、频率。如 QDII 基金投资境外基金，应披露基金与境外基金之间的费率安排。</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（3）</w:t>
      </w:r>
      <w:r>
        <w:rPr>
          <w:rFonts w:hint="eastAsia" w:ascii="宋体" w:hAnsi="宋体" w:eastAsia="宋体" w:cs="宋体"/>
          <w:sz w:val="21"/>
          <w:szCs w:val="21"/>
        </w:rPr>
        <w:t>投资境外市场可能产生的风险信息。</w:t>
      </w:r>
    </w:p>
    <w:p>
      <w:pPr>
        <w:spacing w:beforeLines="50" w:beforeAutospacing="0" w:after="0"/>
        <w:rPr>
          <w:rFonts w:hint="eastAsia" w:ascii="宋体" w:hAnsi="宋体" w:eastAsia="宋体" w:cs="宋体"/>
          <w:bCs/>
          <w:sz w:val="21"/>
          <w:szCs w:val="21"/>
        </w:rPr>
      </w:pPr>
      <w:r>
        <w:rPr>
          <w:rFonts w:hint="eastAsia" w:ascii="宋体" w:hAnsi="宋体" w:eastAsia="宋体" w:cs="宋体"/>
          <w:bCs/>
          <w:sz w:val="21"/>
          <w:szCs w:val="21"/>
        </w:rPr>
        <w:t>4.净值信息的披露频率要求</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QDII 基金也是开放式基金，在其放开申购、赎回前，一般至少每周披露一次资产净值和份额净值；放开申购、赎回后，则需要披露每个开放日的份额净值和份额累计净值。QDII基金的净值在估值日后 1～2 个工作日内披露。</w:t>
      </w:r>
    </w:p>
    <w:p>
      <w:pPr>
        <w:spacing w:beforeLines="50" w:beforeAutospacing="0" w:after="0"/>
        <w:rPr>
          <w:rFonts w:hint="eastAsia" w:ascii="宋体" w:hAnsi="宋体" w:eastAsia="宋体" w:cs="宋体"/>
          <w:bCs/>
          <w:sz w:val="21"/>
          <w:szCs w:val="21"/>
        </w:rPr>
      </w:pPr>
      <w:r>
        <w:rPr>
          <w:rFonts w:hint="eastAsia" w:ascii="宋体" w:hAnsi="宋体" w:eastAsia="宋体" w:cs="宋体"/>
          <w:bCs/>
          <w:sz w:val="21"/>
          <w:szCs w:val="21"/>
        </w:rPr>
        <w:t>5.定期报告中的特殊披露要求</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（1）</w:t>
      </w:r>
      <w:r>
        <w:rPr>
          <w:rFonts w:hint="eastAsia" w:ascii="宋体" w:hAnsi="宋体" w:eastAsia="宋体" w:cs="宋体"/>
          <w:sz w:val="21"/>
          <w:szCs w:val="21"/>
        </w:rPr>
        <w:t>境外投资顾问和境外资产托管人信息。</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（2）</w:t>
      </w:r>
      <w:r>
        <w:rPr>
          <w:rFonts w:hint="eastAsia" w:ascii="宋体" w:hAnsi="宋体" w:eastAsia="宋体" w:cs="宋体"/>
          <w:sz w:val="21"/>
          <w:szCs w:val="21"/>
        </w:rPr>
        <w:t>境外证券投资信息。</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（3）</w:t>
      </w:r>
      <w:r>
        <w:rPr>
          <w:rFonts w:hint="eastAsia" w:ascii="宋体" w:hAnsi="宋体" w:eastAsia="宋体" w:cs="宋体"/>
          <w:sz w:val="21"/>
          <w:szCs w:val="21"/>
        </w:rPr>
        <w:t>外币交易及外币折算相关的信息。</w:t>
      </w:r>
    </w:p>
    <w:p>
      <w:pPr>
        <w:spacing w:beforeLines="50" w:beforeAutospacing="0" w:after="0"/>
        <w:rPr>
          <w:rFonts w:hint="eastAsia" w:ascii="宋体" w:hAnsi="宋体" w:eastAsia="宋体" w:cs="宋体"/>
          <w:bCs/>
          <w:sz w:val="21"/>
          <w:szCs w:val="21"/>
        </w:rPr>
      </w:pPr>
      <w:r>
        <w:rPr>
          <w:rFonts w:hint="eastAsia" w:ascii="宋体" w:hAnsi="宋体" w:eastAsia="宋体" w:cs="宋体"/>
          <w:bCs/>
          <w:sz w:val="21"/>
          <w:szCs w:val="21"/>
        </w:rPr>
        <w:t>6.临时公告中的特殊披露要求</w:t>
      </w:r>
    </w:p>
    <w:p>
      <w:pPr>
        <w:spacing w:beforeLines="50" w:beforeAutospacing="0" w:after="0"/>
        <w:rPr>
          <w:rFonts w:hint="eastAsia" w:ascii="宋体" w:hAnsi="宋体" w:eastAsia="宋体" w:cs="宋体"/>
          <w:b/>
          <w:bCs/>
          <w:color w:val="4472C4" w:themeColor="accent1"/>
          <w14:textFill>
            <w14:solidFill>
              <w14:schemeClr w14:val="accent1"/>
            </w14:solidFill>
          </w14:textFill>
        </w:rPr>
      </w:pPr>
      <w:r>
        <w:rPr>
          <w:rFonts w:hint="eastAsia" w:ascii="宋体" w:hAnsi="宋体" w:eastAsia="宋体" w:cs="宋体"/>
          <w:sz w:val="21"/>
          <w:szCs w:val="21"/>
        </w:rPr>
        <w:t>当 QDII 基金变更境外托管人、变更投资顾问、投资顾问主要负责人变动、涉及境外诉讼等重大事件时，应在事件发生后及时披露临时公告，并在更新的招募说明书中予以说明。</w:t>
      </w:r>
    </w:p>
    <w:p>
      <w:pPr>
        <w:spacing w:beforeLines="50" w:beforeAutospacing="0" w:after="0"/>
        <w:rPr>
          <w:rFonts w:hint="eastAsia" w:ascii="宋体" w:hAnsi="宋体" w:eastAsia="宋体" w:cs="宋体"/>
          <w:b w:val="0"/>
          <w:bCs/>
          <w:sz w:val="24"/>
          <w:szCs w:val="24"/>
        </w:rPr>
      </w:pPr>
      <w:r>
        <w:rPr>
          <w:rFonts w:hint="eastAsia" w:ascii="宋体" w:hAnsi="宋体" w:eastAsia="宋体" w:cs="宋体"/>
          <w:b/>
          <w:bCs/>
          <w:color w:val="4472C4" w:themeColor="accent1"/>
          <w14:textFill>
            <w14:solidFill>
              <w14:schemeClr w14:val="accent1"/>
            </w14:solidFill>
          </w14:textFill>
        </w:rPr>
        <w:t>考点七</w:t>
      </w:r>
      <w:r>
        <w:rPr>
          <w:rFonts w:hint="eastAsia" w:ascii="宋体" w:hAnsi="宋体" w:eastAsia="宋体" w:cs="宋体"/>
        </w:rPr>
        <w:t xml:space="preserve"> </w:t>
      </w:r>
      <w:r>
        <w:rPr>
          <w:rFonts w:hint="eastAsia" w:ascii="宋体" w:hAnsi="宋体" w:eastAsia="宋体" w:cs="宋体"/>
          <w:b w:val="0"/>
          <w:bCs/>
          <w:sz w:val="24"/>
          <w:szCs w:val="24"/>
        </w:rPr>
        <w:t>ETF信息披露的特殊规定及要求</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1.</w:t>
      </w:r>
      <w:r>
        <w:rPr>
          <w:rFonts w:hint="eastAsia" w:ascii="宋体" w:hAnsi="宋体" w:eastAsia="宋体" w:cs="宋体"/>
          <w:sz w:val="21"/>
          <w:szCs w:val="21"/>
        </w:rPr>
        <w:t>在基金合同和招募说明书中，需明确基金份额的各种认购、申购、赎回方式，以及投资者认购、申购、赎回基金份额涉及的对价种类等。</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2.</w:t>
      </w:r>
      <w:r>
        <w:rPr>
          <w:rFonts w:hint="eastAsia" w:ascii="宋体" w:hAnsi="宋体" w:eastAsia="宋体" w:cs="宋体"/>
          <w:sz w:val="21"/>
          <w:szCs w:val="21"/>
        </w:rPr>
        <w:t>基金上市交易之后，需按交易所的要求，在每日开市前披露当日的申购清单和赎回清单，并在交易时间内即时揭示基金份额参考净值（IOPV）。</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（1）在每日开市前，基金管理人需向证券交易所、证券登记结算机构提供 ETF 的申购清单和赎回清单，并通过基金公司官方网站和证券交易所指定的信息发布渠道予以公告。</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（2）交易日的基金份额净值除了按规定于次日（跨境 ETF 可以为次 2 个工作日）在指定报刊和管理人网站披露外，也将通过证券交易所的行情发布系统于次 1 交易日（跨境 ETF可以为次 2 个工作日）揭示。</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（3）在交易时间内，证券交易所根据基金管理人提供的基金份额参考净值计算方式、申购和赎回清单中的组合证券等信息，实时计算并公布基金份额参考净值。</w:t>
      </w:r>
    </w:p>
    <w:p>
      <w:pPr>
        <w:jc w:val="left"/>
        <w:rPr>
          <w:rFonts w:hint="eastAsia" w:ascii="宋体" w:hAnsi="宋体" w:eastAsia="宋体" w:cs="宋体"/>
        </w:rPr>
      </w:pPr>
    </w:p>
    <w:p>
      <w:pPr>
        <w:jc w:val="center"/>
        <w:rPr>
          <w:rFonts w:hint="eastAsia" w:ascii="宋体" w:hAnsi="宋体" w:eastAsia="宋体" w:cs="宋体"/>
          <w:b/>
          <w:bCs/>
        </w:rPr>
      </w:pPr>
      <w:r>
        <w:rPr>
          <w:rFonts w:hint="eastAsia" w:ascii="宋体" w:hAnsi="宋体" w:eastAsia="宋体" w:cs="宋体"/>
          <w:b/>
          <w:bCs/>
        </w:rPr>
        <w:t>第八章</w:t>
      </w:r>
      <w:r>
        <w:rPr>
          <w:rFonts w:hint="eastAsia" w:ascii="宋体" w:hAnsi="宋体" w:eastAsia="宋体" w:cs="宋体"/>
          <w:b/>
          <w:bCs/>
        </w:rPr>
        <w:t xml:space="preserve"> </w:t>
      </w:r>
      <w:r>
        <w:rPr>
          <w:rFonts w:hint="eastAsia" w:ascii="宋体" w:hAnsi="宋体" w:eastAsia="宋体" w:cs="宋体"/>
          <w:b/>
          <w:bCs/>
        </w:rPr>
        <w:t>基金客户和销售机构</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 xml:space="preserve">考点一 </w:t>
      </w:r>
      <w:r>
        <w:rPr>
          <w:rFonts w:hint="eastAsia" w:ascii="宋体" w:hAnsi="宋体" w:eastAsia="宋体" w:cs="宋体"/>
        </w:rPr>
        <w:t>基金份额持有人享有以下权利：</w:t>
      </w:r>
    </w:p>
    <w:p>
      <w:pPr>
        <w:rPr>
          <w:rFonts w:hint="eastAsia" w:ascii="宋体" w:hAnsi="宋体" w:eastAsia="宋体" w:cs="宋体"/>
        </w:rPr>
      </w:pPr>
      <w:r>
        <w:rPr>
          <w:rFonts w:hint="eastAsia" w:ascii="宋体" w:hAnsi="宋体" w:eastAsia="宋体" w:cs="宋体"/>
        </w:rPr>
        <w:t>（1）分享基金财产收益；</w:t>
      </w:r>
    </w:p>
    <w:p>
      <w:pPr>
        <w:rPr>
          <w:rFonts w:hint="eastAsia" w:ascii="宋体" w:hAnsi="宋体" w:eastAsia="宋体" w:cs="宋体"/>
        </w:rPr>
      </w:pPr>
      <w:r>
        <w:rPr>
          <w:rFonts w:hint="eastAsia" w:ascii="宋体" w:hAnsi="宋体" w:eastAsia="宋体" w:cs="宋体"/>
        </w:rPr>
        <w:t>（2）参与分配清算后的剩余基金财产；</w:t>
      </w:r>
    </w:p>
    <w:p>
      <w:pPr>
        <w:rPr>
          <w:rFonts w:hint="eastAsia" w:ascii="宋体" w:hAnsi="宋体" w:eastAsia="宋体" w:cs="宋体"/>
        </w:rPr>
      </w:pPr>
      <w:r>
        <w:rPr>
          <w:rFonts w:hint="eastAsia" w:ascii="宋体" w:hAnsi="宋体" w:eastAsia="宋体" w:cs="宋体"/>
        </w:rPr>
        <w:t>（3）依法转让或者申请赎回其持有的基金份额；</w:t>
      </w:r>
    </w:p>
    <w:p>
      <w:pPr>
        <w:rPr>
          <w:rFonts w:hint="eastAsia" w:ascii="宋体" w:hAnsi="宋体" w:eastAsia="宋体" w:cs="宋体"/>
        </w:rPr>
      </w:pPr>
      <w:r>
        <w:rPr>
          <w:rFonts w:hint="eastAsia" w:ascii="宋体" w:hAnsi="宋体" w:eastAsia="宋体" w:cs="宋体"/>
        </w:rPr>
        <w:t>（4）按照规定要求召开基金投资者大会；</w:t>
      </w:r>
    </w:p>
    <w:p>
      <w:pPr>
        <w:rPr>
          <w:rFonts w:hint="eastAsia" w:ascii="宋体" w:hAnsi="宋体" w:eastAsia="宋体" w:cs="宋体"/>
        </w:rPr>
      </w:pPr>
      <w:r>
        <w:rPr>
          <w:rFonts w:hint="eastAsia" w:ascii="宋体" w:hAnsi="宋体" w:eastAsia="宋体" w:cs="宋体"/>
        </w:rPr>
        <w:t>（5）对基金投资者大会审议事项行使表决权；</w:t>
      </w:r>
    </w:p>
    <w:p>
      <w:pPr>
        <w:rPr>
          <w:rFonts w:hint="eastAsia" w:ascii="宋体" w:hAnsi="宋体" w:eastAsia="宋体" w:cs="宋体"/>
        </w:rPr>
      </w:pPr>
      <w:r>
        <w:rPr>
          <w:rFonts w:hint="eastAsia" w:ascii="宋体" w:hAnsi="宋体" w:eastAsia="宋体" w:cs="宋体"/>
        </w:rPr>
        <w:t>（6）查阅或者复制公开披露的基金信息资料；</w:t>
      </w:r>
    </w:p>
    <w:p>
      <w:pPr>
        <w:rPr>
          <w:rFonts w:hint="eastAsia" w:ascii="宋体" w:hAnsi="宋体" w:eastAsia="宋体" w:cs="宋体"/>
        </w:rPr>
      </w:pPr>
      <w:r>
        <w:rPr>
          <w:rFonts w:hint="eastAsia" w:ascii="宋体" w:hAnsi="宋体" w:eastAsia="宋体" w:cs="宋体"/>
        </w:rPr>
        <w:t>（7）对基金管理人、基金托管人、基金销售机构损害其合法权益的行为依法提起诉讼等。</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考点二</w:t>
      </w:r>
      <w:r>
        <w:rPr>
          <w:rFonts w:hint="eastAsia" w:ascii="宋体" w:hAnsi="宋体" w:eastAsia="宋体" w:cs="宋体"/>
        </w:rPr>
        <w:t xml:space="preserve"> 基金销售机构的主要类型和现状</w:t>
      </w:r>
    </w:p>
    <w:p>
      <w:pPr>
        <w:rPr>
          <w:rFonts w:hint="eastAsia" w:ascii="宋体" w:hAnsi="宋体" w:eastAsia="宋体" w:cs="宋体"/>
        </w:rPr>
      </w:pPr>
      <w:r>
        <w:rPr>
          <w:rFonts w:hint="eastAsia" w:ascii="宋体" w:hAnsi="宋体" w:eastAsia="宋体" w:cs="宋体"/>
        </w:rPr>
        <w:t>1.基金销售机构，是指依法办理开放式基金份额的认购、申购和赎回的基金管理人以及取得基金代销业务资格的其他机构。</w:t>
      </w:r>
    </w:p>
    <w:p>
      <w:pPr>
        <w:rPr>
          <w:rFonts w:hint="eastAsia" w:ascii="宋体" w:hAnsi="宋体" w:eastAsia="宋体" w:cs="宋体"/>
        </w:rPr>
      </w:pPr>
      <w:r>
        <w:rPr>
          <w:rFonts w:hint="eastAsia" w:ascii="宋体" w:hAnsi="宋体" w:eastAsia="宋体" w:cs="宋体"/>
        </w:rPr>
        <w:t>2.目前，国内的基金销售机构可分为直销机构和代销机构两种类型。</w:t>
      </w:r>
    </w:p>
    <w:p>
      <w:pPr>
        <w:rPr>
          <w:rFonts w:hint="eastAsia" w:ascii="宋体" w:hAnsi="宋体" w:eastAsia="宋体" w:cs="宋体"/>
        </w:rPr>
      </w:pPr>
      <w:r>
        <w:rPr>
          <w:rFonts w:hint="eastAsia" w:ascii="宋体" w:hAnsi="宋体" w:eastAsia="宋体" w:cs="宋体"/>
        </w:rPr>
        <w:t>（1）直销机构是指直接销售基金的基金公司。基金公司开展直销目前主要包括两种形式，其一是专门的销售人员直接开发和维护机构客户和高净值个人客户，其二是自行开发建立电子商务平台。</w:t>
      </w:r>
    </w:p>
    <w:p>
      <w:pPr>
        <w:rPr>
          <w:rFonts w:hint="eastAsia" w:ascii="宋体" w:hAnsi="宋体" w:eastAsia="宋体" w:cs="宋体"/>
        </w:rPr>
      </w:pPr>
      <w:r>
        <w:rPr>
          <w:rFonts w:hint="eastAsia" w:ascii="宋体" w:hAnsi="宋体" w:eastAsia="宋体" w:cs="宋体"/>
        </w:rPr>
        <w:t>（2）代销机构是指与基金公司签订基金产品代销协议，代为销售基金产品，赚取销售佣金的商业机构，主要包括商业银行、证券公司、期货公司、保险公司、证券投资咨询机构以及独立基金销售机构。</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考点三</w:t>
      </w:r>
      <w:r>
        <w:rPr>
          <w:rFonts w:hint="eastAsia" w:ascii="宋体" w:hAnsi="宋体" w:eastAsia="宋体" w:cs="宋体"/>
        </w:rPr>
        <w:t xml:space="preserve"> 基金销售机构职责规范</w:t>
      </w:r>
    </w:p>
    <w:p>
      <w:pPr>
        <w:rPr>
          <w:rFonts w:hint="eastAsia" w:ascii="宋体" w:hAnsi="宋体" w:eastAsia="宋体" w:cs="宋体"/>
        </w:rPr>
      </w:pPr>
      <w:r>
        <w:rPr>
          <w:rFonts w:hint="eastAsia" w:ascii="宋体" w:hAnsi="宋体" w:eastAsia="宋体" w:cs="宋体"/>
        </w:rPr>
        <w:t>1.基金销售机构办理基金的销售业务，应当由基金销售机构与基金管理人签订书面销售协议，明确双方的权利及义务，并至少包括以下内容：销售费用分配的比例和方式，基金持有人联系方式等客户资料的保存方式，对基金持有人的持续服务责任，反洗钱义务履行及责任划分，基金销售信息交换及资金交收权利与义务。</w:t>
      </w:r>
    </w:p>
    <w:p>
      <w:pPr>
        <w:rPr>
          <w:rFonts w:hint="eastAsia" w:ascii="宋体" w:hAnsi="宋体" w:eastAsia="宋体" w:cs="宋体"/>
        </w:rPr>
      </w:pPr>
      <w:r>
        <w:rPr>
          <w:rFonts w:hint="eastAsia" w:ascii="宋体" w:hAnsi="宋体" w:eastAsia="宋体" w:cs="宋体"/>
        </w:rPr>
        <w:t>2.未经签订书面销售协议，基金销售机构不得办理基金的销售。同时，基金销售机构不得委托其他机构代为办理基金的销售业务。</w:t>
      </w:r>
    </w:p>
    <w:p>
      <w:pPr>
        <w:rPr>
          <w:rFonts w:hint="eastAsia" w:ascii="宋体" w:hAnsi="宋体" w:eastAsia="宋体" w:cs="宋体"/>
        </w:rPr>
      </w:pPr>
      <w:r>
        <w:rPr>
          <w:rFonts w:hint="eastAsia" w:ascii="宋体" w:hAnsi="宋体" w:eastAsia="宋体" w:cs="宋体"/>
        </w:rPr>
        <w:t>3.基金管理人、基金销售机构应当建立健全档案管理制度，妥善管理基金份额持有人的开户资料和与销售业务有关的其他资料。客户身份资料自业务关系结束当年起至少保存 15年，与销售业务有关的其他资料自业务发生当年起至少保存 15 年。</w:t>
      </w:r>
    </w:p>
    <w:p>
      <w:pPr>
        <w:rPr>
          <w:rFonts w:hint="eastAsia" w:ascii="宋体" w:hAnsi="宋体" w:eastAsia="宋体" w:cs="宋体"/>
        </w:rPr>
      </w:pPr>
      <w:r>
        <w:rPr>
          <w:rFonts w:hint="eastAsia" w:ascii="宋体" w:hAnsi="宋体" w:eastAsia="宋体" w:cs="宋体"/>
        </w:rPr>
        <w:t>4.基金募集申请获得中国证监会核准前，基金管理人、基金销售机构不得办理基金的销售业务，不得向公众分发、公布基金宣传推介材料或发售基金份额。</w:t>
      </w:r>
    </w:p>
    <w:p>
      <w:pPr>
        <w:rPr>
          <w:rFonts w:hint="eastAsia" w:ascii="宋体" w:hAnsi="宋体" w:eastAsia="宋体" w:cs="宋体"/>
        </w:rPr>
      </w:pPr>
      <w:r>
        <w:rPr>
          <w:rFonts w:hint="eastAsia" w:ascii="宋体" w:hAnsi="宋体" w:eastAsia="宋体" w:cs="宋体"/>
        </w:rPr>
        <w:t>5.禁止任何单位或个人以任何形式挪用基金销售结算资金。相关机构破产或清算时，基金销售结算资金不属于其破产或清算财产。</w:t>
      </w:r>
    </w:p>
    <w:p>
      <w:pPr>
        <w:rPr>
          <w:rFonts w:hint="eastAsia" w:ascii="宋体" w:hAnsi="宋体" w:eastAsia="宋体" w:cs="宋体"/>
        </w:rPr>
      </w:pPr>
      <w:r>
        <w:rPr>
          <w:rFonts w:hint="eastAsia" w:ascii="宋体" w:hAnsi="宋体" w:eastAsia="宋体" w:cs="宋体"/>
        </w:rPr>
        <w:t>6.基金销售机构应监测客户现金收支或款项划转情况，对符合大额交易标准的，在该大额交易发生后 5 个工作日内，向中国反洗钱监测分析中心报告。在发现有可疑交易或者行为时，在其发生后 10 个工作日内，向中国反洗钱监测分析中心报告。</w:t>
      </w:r>
    </w:p>
    <w:p>
      <w:pPr>
        <w:jc w:val="left"/>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w:t>
      </w:r>
      <w:r>
        <w:rPr>
          <w:rFonts w:hint="eastAsia" w:ascii="宋体" w:hAnsi="宋体" w:eastAsia="宋体" w:cs="宋体"/>
          <w:b/>
          <w:bCs/>
          <w:color w:val="4472C4" w:themeColor="accent1"/>
          <w:lang w:eastAsia="zh-CN"/>
          <w14:textFill>
            <w14:solidFill>
              <w14:schemeClr w14:val="accent1"/>
            </w14:solidFill>
          </w14:textFill>
        </w:rPr>
        <w:t>点</w:t>
      </w:r>
      <w:r>
        <w:rPr>
          <w:rFonts w:hint="eastAsia" w:ascii="宋体" w:hAnsi="宋体" w:eastAsia="宋体" w:cs="宋体"/>
          <w:b/>
          <w:bCs/>
          <w:color w:val="4472C4" w:themeColor="accent1"/>
          <w14:textFill>
            <w14:solidFill>
              <w14:schemeClr w14:val="accent1"/>
            </w14:solidFill>
          </w14:textFill>
        </w:rPr>
        <w:t>四</w:t>
      </w:r>
      <w:r>
        <w:rPr>
          <w:rFonts w:hint="eastAsia" w:ascii="宋体" w:hAnsi="宋体" w:eastAsia="宋体" w:cs="宋体"/>
        </w:rPr>
        <w:t xml:space="preserve"> 基金市场营销的特殊性及主要销售策略</w:t>
      </w:r>
    </w:p>
    <w:p>
      <w:pPr>
        <w:jc w:val="left"/>
        <w:rPr>
          <w:rFonts w:hint="eastAsia" w:ascii="宋体" w:hAnsi="宋体" w:eastAsia="宋体" w:cs="宋体"/>
        </w:rPr>
      </w:pPr>
      <w:r>
        <w:rPr>
          <w:rFonts w:hint="eastAsia" w:ascii="宋体" w:hAnsi="宋体" w:eastAsia="宋体" w:cs="宋体"/>
        </w:rPr>
        <w:t>1.基金销售机构销售基金产品一般以 4Ps 营销理论为指导。</w:t>
      </w:r>
    </w:p>
    <w:p>
      <w:pPr>
        <w:jc w:val="left"/>
        <w:rPr>
          <w:rFonts w:hint="eastAsia" w:ascii="宋体" w:hAnsi="宋体" w:eastAsia="宋体" w:cs="宋体"/>
        </w:rPr>
      </w:pPr>
      <w:r>
        <w:rPr>
          <w:rFonts w:hint="eastAsia" w:ascii="宋体" w:hAnsi="宋体" w:eastAsia="宋体" w:cs="宋体"/>
        </w:rPr>
        <w:t>（1）产品策略；（2）分销策略；（3）促销策略；（4）价格策略.</w:t>
      </w:r>
    </w:p>
    <w:p>
      <w:pPr>
        <w:jc w:val="left"/>
        <w:rPr>
          <w:rFonts w:hint="eastAsia" w:ascii="宋体" w:hAnsi="宋体" w:eastAsia="宋体" w:cs="宋体"/>
        </w:rPr>
      </w:pPr>
      <w:r>
        <w:rPr>
          <w:rFonts w:hint="eastAsia" w:ascii="宋体" w:hAnsi="宋体" w:eastAsia="宋体" w:cs="宋体"/>
        </w:rPr>
        <w:t>2.证券投资基金属于金融服务行业，其市场营销不同于有形产品营销，在运用 4Ps 理论时有其特殊性：</w:t>
      </w:r>
    </w:p>
    <w:p>
      <w:pPr>
        <w:jc w:val="left"/>
        <w:rPr>
          <w:rFonts w:hint="eastAsia" w:ascii="宋体" w:hAnsi="宋体" w:eastAsia="宋体" w:cs="宋体"/>
        </w:rPr>
      </w:pPr>
      <w:r>
        <w:rPr>
          <w:rFonts w:hint="eastAsia" w:ascii="宋体" w:hAnsi="宋体" w:eastAsia="宋体" w:cs="宋体"/>
        </w:rPr>
        <w:t>（1）规范性</w:t>
      </w:r>
    </w:p>
    <w:p>
      <w:pPr>
        <w:jc w:val="left"/>
        <w:rPr>
          <w:rFonts w:hint="eastAsia" w:ascii="宋体" w:hAnsi="宋体" w:eastAsia="宋体" w:cs="宋体"/>
        </w:rPr>
      </w:pPr>
      <w:r>
        <w:rPr>
          <w:rFonts w:hint="eastAsia" w:ascii="宋体" w:hAnsi="宋体" w:eastAsia="宋体" w:cs="宋体"/>
        </w:rPr>
        <w:t>（2）服务性</w:t>
      </w:r>
    </w:p>
    <w:p>
      <w:pPr>
        <w:jc w:val="left"/>
        <w:rPr>
          <w:rFonts w:hint="eastAsia" w:ascii="宋体" w:hAnsi="宋体" w:eastAsia="宋体" w:cs="宋体"/>
        </w:rPr>
      </w:pPr>
      <w:r>
        <w:rPr>
          <w:rFonts w:hint="eastAsia" w:ascii="宋体" w:hAnsi="宋体" w:eastAsia="宋体" w:cs="宋体"/>
        </w:rPr>
        <w:t>（3）专业性</w:t>
      </w:r>
    </w:p>
    <w:p>
      <w:pPr>
        <w:jc w:val="left"/>
        <w:rPr>
          <w:rFonts w:hint="eastAsia" w:ascii="宋体" w:hAnsi="宋体" w:eastAsia="宋体" w:cs="宋体"/>
        </w:rPr>
      </w:pPr>
      <w:r>
        <w:rPr>
          <w:rFonts w:hint="eastAsia" w:ascii="宋体" w:hAnsi="宋体" w:eastAsia="宋体" w:cs="宋体"/>
        </w:rPr>
        <w:t>（4）持续性</w:t>
      </w:r>
    </w:p>
    <w:p>
      <w:pPr>
        <w:jc w:val="left"/>
        <w:rPr>
          <w:rFonts w:hint="eastAsia" w:ascii="宋体" w:hAnsi="宋体" w:eastAsia="宋体" w:cs="宋体"/>
        </w:rPr>
      </w:pPr>
      <w:r>
        <w:rPr>
          <w:rFonts w:hint="eastAsia" w:ascii="宋体" w:hAnsi="宋体" w:eastAsia="宋体" w:cs="宋体"/>
        </w:rPr>
        <w:t>（5）适用性</w:t>
      </w:r>
    </w:p>
    <w:p>
      <w:pPr>
        <w:jc w:val="left"/>
        <w:rPr>
          <w:rFonts w:hint="eastAsia" w:ascii="宋体" w:hAnsi="宋体" w:eastAsia="宋体" w:cs="宋体"/>
        </w:rPr>
      </w:pPr>
      <w:r>
        <w:rPr>
          <w:rFonts w:hint="eastAsia" w:ascii="宋体" w:hAnsi="宋体" w:eastAsia="宋体" w:cs="宋体"/>
        </w:rPr>
        <w:t>3.销售策略</w:t>
      </w:r>
    </w:p>
    <w:p>
      <w:pPr>
        <w:jc w:val="left"/>
        <w:rPr>
          <w:rFonts w:hint="eastAsia" w:ascii="宋体" w:hAnsi="宋体" w:eastAsia="宋体" w:cs="宋体"/>
        </w:rPr>
      </w:pPr>
      <w:r>
        <w:rPr>
          <w:rFonts w:hint="eastAsia" w:ascii="宋体" w:hAnsi="宋体" w:eastAsia="宋体" w:cs="宋体"/>
        </w:rPr>
        <w:t>（1）产品策略</w:t>
      </w:r>
    </w:p>
    <w:p>
      <w:pPr>
        <w:jc w:val="left"/>
        <w:rPr>
          <w:rFonts w:hint="eastAsia" w:ascii="宋体" w:hAnsi="宋体" w:eastAsia="宋体" w:cs="宋体"/>
        </w:rPr>
      </w:pPr>
      <w:r>
        <w:rPr>
          <w:rFonts w:hint="eastAsia" w:ascii="宋体" w:hAnsi="宋体" w:eastAsia="宋体" w:cs="宋体"/>
        </w:rPr>
        <w:t>（2）渠道策略</w:t>
      </w:r>
    </w:p>
    <w:p>
      <w:pPr>
        <w:jc w:val="left"/>
        <w:rPr>
          <w:rFonts w:hint="eastAsia" w:ascii="宋体" w:hAnsi="宋体" w:eastAsia="宋体" w:cs="宋体"/>
        </w:rPr>
      </w:pPr>
      <w:r>
        <w:rPr>
          <w:rFonts w:hint="eastAsia" w:ascii="宋体" w:hAnsi="宋体" w:eastAsia="宋体" w:cs="宋体"/>
        </w:rPr>
        <w:t>（3）促销策略</w:t>
      </w:r>
    </w:p>
    <w:p>
      <w:pPr>
        <w:jc w:val="left"/>
        <w:rPr>
          <w:rFonts w:hint="eastAsia" w:ascii="宋体" w:hAnsi="宋体" w:eastAsia="宋体" w:cs="宋体"/>
        </w:rPr>
      </w:pPr>
      <w:r>
        <w:rPr>
          <w:rFonts w:hint="eastAsia" w:ascii="宋体" w:hAnsi="宋体" w:eastAsia="宋体" w:cs="宋体"/>
        </w:rPr>
        <w:t>（4）价格策略</w:t>
      </w:r>
    </w:p>
    <w:p>
      <w:pPr>
        <w:jc w:val="center"/>
        <w:rPr>
          <w:rFonts w:hint="eastAsia" w:ascii="宋体" w:hAnsi="宋体" w:eastAsia="宋体" w:cs="宋体"/>
          <w:b/>
          <w:bCs/>
          <w:sz w:val="24"/>
          <w:szCs w:val="24"/>
        </w:rPr>
      </w:pPr>
      <w:r>
        <w:rPr>
          <w:rFonts w:hint="eastAsia" w:ascii="宋体" w:hAnsi="宋体" w:eastAsia="宋体" w:cs="宋体"/>
          <w:b/>
          <w:bCs/>
          <w:sz w:val="24"/>
          <w:szCs w:val="24"/>
        </w:rPr>
        <w:t>第九章</w:t>
      </w:r>
      <w:r>
        <w:rPr>
          <w:rFonts w:hint="eastAsia" w:ascii="宋体" w:hAnsi="宋体" w:eastAsia="宋体" w:cs="宋体"/>
          <w:b/>
          <w:bCs/>
          <w:sz w:val="24"/>
          <w:szCs w:val="24"/>
        </w:rPr>
        <w:t xml:space="preserve"> </w:t>
      </w:r>
      <w:r>
        <w:rPr>
          <w:rFonts w:hint="eastAsia" w:ascii="宋体" w:hAnsi="宋体" w:eastAsia="宋体" w:cs="宋体"/>
          <w:b/>
          <w:bCs/>
          <w:sz w:val="24"/>
          <w:szCs w:val="24"/>
        </w:rPr>
        <w:t>基金销售行为规范及信息管理</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考点一</w:t>
      </w:r>
      <w:r>
        <w:rPr>
          <w:rFonts w:hint="eastAsia" w:ascii="宋体" w:hAnsi="宋体" w:eastAsia="宋体" w:cs="宋体"/>
        </w:rPr>
        <w:t xml:space="preserve"> 基金销售机构人员的资格管理</w:t>
      </w:r>
    </w:p>
    <w:p>
      <w:pPr>
        <w:rPr>
          <w:rFonts w:hint="eastAsia" w:ascii="宋体" w:hAnsi="宋体" w:eastAsia="宋体" w:cs="宋体"/>
        </w:rPr>
      </w:pPr>
      <w:r>
        <w:rPr>
          <w:rFonts w:hint="eastAsia" w:ascii="宋体" w:hAnsi="宋体" w:eastAsia="宋体" w:cs="宋体"/>
        </w:rPr>
        <w:t>1.基金销售机构人员应当取得基金从业人员资格。</w:t>
      </w:r>
    </w:p>
    <w:p>
      <w:pPr>
        <w:rPr>
          <w:rFonts w:hint="eastAsia" w:ascii="宋体" w:hAnsi="宋体" w:eastAsia="宋体" w:cs="宋体"/>
        </w:rPr>
      </w:pPr>
      <w:r>
        <w:rPr>
          <w:rFonts w:hint="eastAsia" w:ascii="宋体" w:hAnsi="宋体" w:eastAsia="宋体" w:cs="宋体"/>
        </w:rPr>
        <w:t>2.负责基金销售业务的管理人员应取基金从业资格。</w:t>
      </w:r>
    </w:p>
    <w:p>
      <w:pPr>
        <w:rPr>
          <w:rFonts w:hint="eastAsia" w:ascii="宋体" w:hAnsi="宋体" w:eastAsia="宋体" w:cs="宋体"/>
        </w:rPr>
      </w:pPr>
      <w:r>
        <w:rPr>
          <w:rFonts w:hint="eastAsia" w:ascii="宋体" w:hAnsi="宋体" w:eastAsia="宋体" w:cs="宋体"/>
        </w:rPr>
        <w:t>3.证券公司总部及营业网点，商业银行总行、各级分行及营业网点，专业基金销售机构和证券投资咨询机构总部及营业网点从事基金宣传推介、基金理财业务咨询等活动的人员应取得基金销售业务资格。</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w:t>
      </w:r>
      <w:r>
        <w:rPr>
          <w:rFonts w:hint="eastAsia" w:ascii="宋体" w:hAnsi="宋体" w:eastAsia="宋体" w:cs="宋体"/>
          <w:b/>
          <w:bCs/>
          <w:color w:val="4472C4" w:themeColor="accent1"/>
          <w:lang w:eastAsia="zh-CN"/>
          <w14:textFill>
            <w14:solidFill>
              <w14:schemeClr w14:val="accent1"/>
            </w14:solidFill>
          </w14:textFill>
        </w:rPr>
        <w:t>点</w:t>
      </w:r>
      <w:r>
        <w:rPr>
          <w:rFonts w:hint="eastAsia" w:ascii="宋体" w:hAnsi="宋体" w:eastAsia="宋体" w:cs="宋体"/>
          <w:b/>
          <w:bCs/>
          <w:color w:val="4472C4" w:themeColor="accent1"/>
          <w14:textFill>
            <w14:solidFill>
              <w14:schemeClr w14:val="accent1"/>
            </w14:solidFill>
          </w14:textFill>
        </w:rPr>
        <w:t>二</w:t>
      </w:r>
      <w:r>
        <w:rPr>
          <w:rFonts w:hint="eastAsia" w:ascii="宋体" w:hAnsi="宋体" w:eastAsia="宋体" w:cs="宋体"/>
        </w:rPr>
        <w:t xml:space="preserve"> 基金销售人员禁止性规范</w:t>
      </w:r>
    </w:p>
    <w:p>
      <w:pPr>
        <w:rPr>
          <w:rFonts w:hint="eastAsia" w:ascii="宋体" w:hAnsi="宋体" w:eastAsia="宋体" w:cs="宋体"/>
        </w:rPr>
      </w:pPr>
      <w:r>
        <w:rPr>
          <w:rFonts w:hint="eastAsia" w:ascii="宋体" w:hAnsi="宋体" w:eastAsia="宋体" w:cs="宋体"/>
        </w:rPr>
        <w:t>1.基金销售人员对基金产品的陈述、介绍和宣传，应当与基金合同、招募说明书等相符，不得进行虚假或误导性陈述，或者出现重大遗漏。</w:t>
      </w:r>
    </w:p>
    <w:p>
      <w:pPr>
        <w:rPr>
          <w:rFonts w:hint="eastAsia" w:ascii="宋体" w:hAnsi="宋体" w:eastAsia="宋体" w:cs="宋体"/>
        </w:rPr>
      </w:pPr>
      <w:r>
        <w:rPr>
          <w:rFonts w:hint="eastAsia" w:ascii="宋体" w:hAnsi="宋体" w:eastAsia="宋体" w:cs="宋体"/>
        </w:rPr>
        <w:t>2.基金销售人员在陈述所推介基金或同一基金管理人管理的其他基金的过往业绩时，应当客观、全面、准确，并提供业绩信息的原始出处，不得片面夸大过往业绩，也不得预测所推介基金的未来业绩。</w:t>
      </w:r>
    </w:p>
    <w:p>
      <w:pPr>
        <w:rPr>
          <w:rFonts w:hint="eastAsia" w:ascii="宋体" w:hAnsi="宋体" w:eastAsia="宋体" w:cs="宋体"/>
        </w:rPr>
      </w:pPr>
      <w:r>
        <w:rPr>
          <w:rFonts w:hint="eastAsia" w:ascii="宋体" w:hAnsi="宋体" w:eastAsia="宋体" w:cs="宋体"/>
        </w:rPr>
        <w:t>3.基金销售人员应向投资者表明，所推介基金的过往业绩并不预示其未来表现，同一基金管理人管理的其他基金的业绩并不构成所推介基金业绩表现的保证。</w:t>
      </w:r>
    </w:p>
    <w:p>
      <w:pPr>
        <w:rPr>
          <w:rFonts w:hint="eastAsia" w:ascii="宋体" w:hAnsi="宋体" w:eastAsia="宋体" w:cs="宋体"/>
        </w:rPr>
      </w:pPr>
      <w:r>
        <w:rPr>
          <w:rFonts w:hint="eastAsia" w:ascii="宋体" w:hAnsi="宋体" w:eastAsia="宋体" w:cs="宋体"/>
        </w:rPr>
        <w:t>4.基金销售人员应当引导投资者到基金管理公司、基金代销机构的销售网点、网上交易系统或其他经监管部门核准的合法渠道办理开户、认购、申购、赎回等业务手续，不得接受投资者的现金，不得以个人名义接受投资者的款项。</w:t>
      </w:r>
    </w:p>
    <w:p>
      <w:pPr>
        <w:rPr>
          <w:rFonts w:hint="eastAsia" w:ascii="宋体" w:hAnsi="宋体" w:eastAsia="宋体" w:cs="宋体"/>
        </w:rPr>
      </w:pPr>
      <w:r>
        <w:rPr>
          <w:rFonts w:hint="eastAsia" w:ascii="宋体" w:hAnsi="宋体" w:eastAsia="宋体" w:cs="宋体"/>
        </w:rPr>
        <w:t>5.基金销售人员应当按照基金合同、招募说明书以及基金销售业务规则的规定为投资者办理基金认购、申购、赎回等业务，不得擅自更改投资者的交易指令，无正当理由不得拒绝投资者的交易要求。</w:t>
      </w:r>
    </w:p>
    <w:p>
      <w:pPr>
        <w:rPr>
          <w:rFonts w:hint="eastAsia" w:ascii="宋体" w:hAnsi="宋体" w:eastAsia="宋体" w:cs="宋体"/>
        </w:rPr>
      </w:pPr>
      <w:r>
        <w:rPr>
          <w:rFonts w:hint="eastAsia" w:ascii="宋体" w:hAnsi="宋体" w:eastAsia="宋体" w:cs="宋体"/>
        </w:rPr>
        <w:t>6.基金销售人员获得投资者提供的开户资料和基金交易等相关资料后，应及时交所在机构建档保管，并依法为投资者保守秘密，不得泄露投资者买卖、持有基金份额的信息及其他相关信息。【其实就是保密原则】</w:t>
      </w:r>
    </w:p>
    <w:p>
      <w:pPr>
        <w:rPr>
          <w:rFonts w:hint="eastAsia" w:ascii="宋体" w:hAnsi="宋体" w:eastAsia="宋体" w:cs="宋体"/>
        </w:rPr>
      </w:pPr>
      <w:r>
        <w:rPr>
          <w:rFonts w:hint="eastAsia" w:ascii="宋体" w:hAnsi="宋体" w:eastAsia="宋体" w:cs="宋体"/>
        </w:rPr>
        <w:t>7.基金销售人员在向投资者办理基金销售业务时，应当按照基金合同、招募说明书和发行公告等销售法律文件的规定代扣或收取相关费用，不得收取其他额外费用，也不得对不同投资者违规收取不同费率的费用。</w:t>
      </w:r>
    </w:p>
    <w:p>
      <w:pPr>
        <w:spacing w:beforeLines="50" w:beforeAutospacing="0" w:after="0"/>
        <w:rPr>
          <w:rFonts w:hint="eastAsia" w:ascii="宋体" w:hAnsi="宋体" w:eastAsia="宋体" w:cs="宋体"/>
          <w:b/>
          <w:sz w:val="24"/>
          <w:szCs w:val="24"/>
        </w:rPr>
      </w:pPr>
      <w:r>
        <w:rPr>
          <w:rFonts w:hint="eastAsia" w:ascii="宋体" w:hAnsi="宋体" w:eastAsia="宋体" w:cs="宋体"/>
          <w:b/>
          <w:bCs/>
          <w:color w:val="4472C4" w:themeColor="accent1"/>
          <w14:textFill>
            <w14:solidFill>
              <w14:schemeClr w14:val="accent1"/>
            </w14:solidFill>
          </w14:textFill>
        </w:rPr>
        <w:t>考点三</w:t>
      </w:r>
      <w:r>
        <w:rPr>
          <w:rFonts w:hint="eastAsia" w:ascii="宋体" w:hAnsi="宋体" w:eastAsia="宋体" w:cs="宋体"/>
          <w:b/>
          <w:sz w:val="24"/>
          <w:szCs w:val="24"/>
        </w:rPr>
        <w:t>宣传推介材料的范围和报备流程</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1.基金宣传材料是投资基金对外展示的平台，也是投资者了解基金的主要渠道。</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2.</w:t>
      </w:r>
      <w:r>
        <w:rPr>
          <w:rFonts w:hint="eastAsia" w:ascii="宋体" w:hAnsi="宋体" w:eastAsia="宋体" w:cs="宋体"/>
          <w:sz w:val="21"/>
          <w:szCs w:val="21"/>
        </w:rPr>
        <w:t>基金宣传推介材料是指为推介基金向公众分发或者公布，使公众可以普遍获得的书面、电子或者其他介质的信息，包括以下几类：</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（1）公开出版资料。</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（2）宣传单、手册、信函、传真、非指定信息披露媒体上刊发的与基金销售相关的公告等面向公众的宣传资料。</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（3）海报、户外广告。</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（4）电视、电影、广播、互联网资料、公共网站链接广告、短信及其他音像、通信资料。</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（5）通过报眼及报花广告、公共网站链接广告、传真、短信、非指定信息披露媒体上刊发的与基金分红、销售相关的公告等可以使公众普遍获得的、带有广告性质的基金销售信息。</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（6）中国证监会规定的其他材料。</w:t>
      </w:r>
    </w:p>
    <w:p>
      <w:pPr>
        <w:spacing w:beforeLines="50" w:beforeAutospacing="0" w:after="0"/>
        <w:rPr>
          <w:rFonts w:hint="eastAsia" w:ascii="宋体" w:hAnsi="宋体" w:eastAsia="宋体" w:cs="宋体"/>
          <w:sz w:val="21"/>
          <w:szCs w:val="21"/>
        </w:rPr>
      </w:pPr>
      <w:r>
        <w:rPr>
          <w:rFonts w:hint="eastAsia" w:ascii="宋体" w:hAnsi="宋体" w:eastAsia="宋体" w:cs="宋体"/>
          <w:bCs/>
          <w:iCs/>
          <w:sz w:val="21"/>
          <w:szCs w:val="21"/>
        </w:rPr>
        <w:t>3.</w:t>
      </w:r>
      <w:r>
        <w:rPr>
          <w:rFonts w:hint="eastAsia" w:ascii="宋体" w:hAnsi="宋体" w:eastAsia="宋体" w:cs="宋体"/>
          <w:sz w:val="21"/>
          <w:szCs w:val="21"/>
        </w:rPr>
        <w:t>基金管理人的基金宣传推介材料，应当事先经基金管理人负责基金销售业务的高级管理人员和督察长检查，出具合规意见书，并自向公众分发或者发布之日起 5 个工作日内报主要经营活动所在地中国证监会派出机构备案。</w:t>
      </w:r>
    </w:p>
    <w:p>
      <w:pPr>
        <w:spacing w:beforeLines="50" w:beforeAutospacing="0" w:after="0"/>
        <w:rPr>
          <w:rFonts w:hint="eastAsia" w:ascii="宋体" w:hAnsi="宋体" w:eastAsia="宋体" w:cs="宋体"/>
          <w:sz w:val="21"/>
          <w:szCs w:val="21"/>
        </w:rPr>
      </w:pPr>
      <w:r>
        <w:rPr>
          <w:rFonts w:hint="eastAsia" w:ascii="宋体" w:hAnsi="宋体" w:eastAsia="宋体" w:cs="宋体"/>
          <w:bCs/>
          <w:iCs/>
          <w:sz w:val="21"/>
          <w:szCs w:val="21"/>
        </w:rPr>
        <w:t>4.</w:t>
      </w:r>
      <w:r>
        <w:rPr>
          <w:rFonts w:hint="eastAsia" w:ascii="宋体" w:hAnsi="宋体" w:eastAsia="宋体" w:cs="宋体"/>
          <w:sz w:val="21"/>
          <w:szCs w:val="21"/>
        </w:rPr>
        <w:t>其他基金销售机构的基金宣传推介材料，应当事先经基金销售机构负责基金销售业务和合规的高级管理人员检查，出具合规意见书，并自向公众分发或者发布之日起 5 个工作日内报工商注册登记所在地中国证监会派出机构备案。</w:t>
      </w:r>
    </w:p>
    <w:p>
      <w:pPr>
        <w:spacing w:beforeLines="50" w:beforeAutospacing="0" w:after="0"/>
        <w:rPr>
          <w:rFonts w:hint="eastAsia" w:ascii="宋体" w:hAnsi="宋体" w:eastAsia="宋体" w:cs="宋体"/>
          <w:sz w:val="21"/>
          <w:szCs w:val="21"/>
        </w:rPr>
      </w:pPr>
      <w:r>
        <w:rPr>
          <w:rFonts w:hint="eastAsia" w:ascii="宋体" w:hAnsi="宋体" w:eastAsia="宋体" w:cs="宋体"/>
          <w:bCs/>
          <w:iCs/>
          <w:sz w:val="21"/>
          <w:szCs w:val="21"/>
        </w:rPr>
        <w:t>5.</w:t>
      </w:r>
      <w:r>
        <w:rPr>
          <w:rFonts w:hint="eastAsia" w:ascii="宋体" w:hAnsi="宋体" w:eastAsia="宋体" w:cs="宋体"/>
          <w:sz w:val="21"/>
          <w:szCs w:val="21"/>
        </w:rPr>
        <w:t>基金管理公司和基金代销机构制作、分发或公布基金宣传推介材料，应当按照如下规定的要求报送报告材料：</w:t>
      </w:r>
    </w:p>
    <w:tbl>
      <w:tblPr>
        <w:tblStyle w:val="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97" w:hRule="atLeast"/>
          <w:jc w:val="center"/>
        </w:trPr>
        <w:tc>
          <w:tcPr>
            <w:tcW w:w="1384" w:type="dxa"/>
            <w:tcBorders>
              <w:top w:val="single" w:color="auto" w:sz="4" w:space="0"/>
              <w:left w:val="nil"/>
              <w:bottom w:val="single" w:color="auto" w:sz="4" w:space="0"/>
              <w:right w:val="single" w:color="auto" w:sz="4" w:space="0"/>
            </w:tcBorders>
            <w:shd w:val="clear" w:color="auto" w:fill="auto"/>
            <w:vAlign w:val="center"/>
          </w:tcPr>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报送内容</w:t>
            </w:r>
          </w:p>
          <w:p>
            <w:pPr>
              <w:spacing w:beforeLines="50" w:beforeAutospacing="0" w:after="0"/>
              <w:rPr>
                <w:rFonts w:hint="eastAsia" w:ascii="宋体" w:hAnsi="宋体" w:eastAsia="宋体" w:cs="宋体"/>
                <w:sz w:val="21"/>
                <w:szCs w:val="21"/>
              </w:rPr>
            </w:pPr>
          </w:p>
        </w:tc>
        <w:tc>
          <w:tcPr>
            <w:tcW w:w="7138" w:type="dxa"/>
            <w:tcBorders>
              <w:top w:val="single" w:color="auto" w:sz="4" w:space="0"/>
              <w:left w:val="nil"/>
              <w:bottom w:val="single" w:color="auto" w:sz="4" w:space="0"/>
              <w:right w:val="nil"/>
            </w:tcBorders>
            <w:shd w:val="clear" w:color="auto" w:fill="auto"/>
            <w:vAlign w:val="center"/>
          </w:tcPr>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基金宣传推介材料的形式和用途说明、基金宣传推介材料、基金管理公司督察长出具的合规意见书、基金托管银行出具的基金业绩复核函或基金定期报告中相关内容的复印件，以及有关获奖证明的复印件。</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基金管理公司或基金代销机构负责基金营销业务的高级管理人员也应当对基金宣传推介材料的合规性进行复核并出具复核意见。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1384" w:type="dxa"/>
            <w:tcBorders>
              <w:top w:val="single" w:color="auto" w:sz="4" w:space="0"/>
              <w:left w:val="nil"/>
              <w:bottom w:val="single" w:color="auto" w:sz="4" w:space="0"/>
              <w:right w:val="single" w:color="auto" w:sz="4" w:space="0"/>
            </w:tcBorders>
            <w:shd w:val="clear" w:color="auto" w:fill="auto"/>
            <w:vAlign w:val="center"/>
          </w:tcPr>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报送形式</w:t>
            </w:r>
          </w:p>
        </w:tc>
        <w:tc>
          <w:tcPr>
            <w:tcW w:w="7138" w:type="dxa"/>
            <w:tcBorders>
              <w:top w:val="single" w:color="auto" w:sz="4" w:space="0"/>
              <w:left w:val="nil"/>
              <w:bottom w:val="single" w:color="auto" w:sz="4" w:space="0"/>
              <w:right w:val="nil"/>
            </w:tcBorders>
            <w:shd w:val="clear" w:color="auto" w:fill="auto"/>
            <w:vAlign w:val="center"/>
          </w:tcPr>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书面报告报送基金管理公司或基金代销机构主要办公场所所在地证监局。报证监局时应随附电子文档。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jc w:val="center"/>
        </w:trPr>
        <w:tc>
          <w:tcPr>
            <w:tcW w:w="1384" w:type="dxa"/>
            <w:tcBorders>
              <w:top w:val="single" w:color="auto" w:sz="4" w:space="0"/>
              <w:left w:val="nil"/>
              <w:bottom w:val="single" w:color="auto" w:sz="4" w:space="0"/>
              <w:right w:val="single" w:color="auto" w:sz="4" w:space="0"/>
            </w:tcBorders>
            <w:shd w:val="clear" w:color="auto" w:fill="auto"/>
            <w:vAlign w:val="center"/>
          </w:tcPr>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报送流程</w:t>
            </w:r>
          </w:p>
        </w:tc>
        <w:tc>
          <w:tcPr>
            <w:tcW w:w="7138" w:type="dxa"/>
            <w:tcBorders>
              <w:top w:val="single" w:color="auto" w:sz="4" w:space="0"/>
              <w:left w:val="nil"/>
              <w:bottom w:val="single" w:color="auto" w:sz="4" w:space="0"/>
              <w:right w:val="nil"/>
            </w:tcBorders>
            <w:shd w:val="clear" w:color="auto" w:fill="auto"/>
            <w:vAlign w:val="center"/>
          </w:tcPr>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基金管理公司或基金代销机构应当在分发或公布基金宣传推介材料之日起 5 个工作日内递交报告材料。</w:t>
            </w:r>
          </w:p>
        </w:tc>
      </w:tr>
    </w:tbl>
    <w:p>
      <w:pPr>
        <w:rPr>
          <w:rFonts w:hint="eastAsia" w:ascii="宋体" w:hAnsi="宋体" w:eastAsia="宋体" w:cs="宋体"/>
          <w:color w:val="003399"/>
        </w:rPr>
      </w:pP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考点五</w:t>
      </w:r>
      <w:r>
        <w:rPr>
          <w:rFonts w:hint="eastAsia" w:ascii="宋体" w:hAnsi="宋体" w:eastAsia="宋体" w:cs="宋体"/>
        </w:rPr>
        <w:t xml:space="preserve"> 宣传推介材料的禁止性规定</w:t>
      </w:r>
    </w:p>
    <w:p>
      <w:pPr>
        <w:rPr>
          <w:rFonts w:hint="eastAsia" w:ascii="宋体" w:hAnsi="宋体" w:eastAsia="宋体" w:cs="宋体"/>
        </w:rPr>
      </w:pPr>
      <w:r>
        <w:rPr>
          <w:rFonts w:hint="eastAsia" w:ascii="宋体" w:hAnsi="宋体" w:eastAsia="宋体" w:cs="宋体"/>
        </w:rPr>
        <w:t>基金宣传推介材料必须真实、准确，与基金合同、基金招募说明书相符，不得有下列情形：</w:t>
      </w:r>
    </w:p>
    <w:p>
      <w:pPr>
        <w:rPr>
          <w:rFonts w:hint="eastAsia" w:ascii="宋体" w:hAnsi="宋体" w:eastAsia="宋体" w:cs="宋体"/>
        </w:rPr>
      </w:pPr>
      <w:r>
        <w:rPr>
          <w:rFonts w:hint="eastAsia" w:ascii="宋体" w:hAnsi="宋体" w:eastAsia="宋体" w:cs="宋体"/>
        </w:rPr>
        <w:t>（1）虚假记载、误导性陈述或者重大遗漏。</w:t>
      </w:r>
    </w:p>
    <w:p>
      <w:pPr>
        <w:rPr>
          <w:rFonts w:hint="eastAsia" w:ascii="宋体" w:hAnsi="宋体" w:eastAsia="宋体" w:cs="宋体"/>
        </w:rPr>
      </w:pPr>
      <w:r>
        <w:rPr>
          <w:rFonts w:hint="eastAsia" w:ascii="宋体" w:hAnsi="宋体" w:eastAsia="宋体" w:cs="宋体"/>
        </w:rPr>
        <w:t>（2）预测基金的投资业绩。</w:t>
      </w:r>
    </w:p>
    <w:p>
      <w:pPr>
        <w:rPr>
          <w:rFonts w:hint="eastAsia" w:ascii="宋体" w:hAnsi="宋体" w:eastAsia="宋体" w:cs="宋体"/>
        </w:rPr>
      </w:pPr>
      <w:r>
        <w:rPr>
          <w:rFonts w:hint="eastAsia" w:ascii="宋体" w:hAnsi="宋体" w:eastAsia="宋体" w:cs="宋体"/>
        </w:rPr>
        <w:t>（3）违规承诺收益或者承担损失。</w:t>
      </w:r>
    </w:p>
    <w:p>
      <w:pPr>
        <w:rPr>
          <w:rFonts w:hint="eastAsia" w:ascii="宋体" w:hAnsi="宋体" w:eastAsia="宋体" w:cs="宋体"/>
        </w:rPr>
      </w:pPr>
      <w:r>
        <w:rPr>
          <w:rFonts w:hint="eastAsia" w:ascii="宋体" w:hAnsi="宋体" w:eastAsia="宋体" w:cs="宋体"/>
        </w:rPr>
        <w:t>（4）诋毁其他基金管理人、基金托管人或者基金销售机构，或者其他基金管理人募集或者管理的基金。</w:t>
      </w:r>
    </w:p>
    <w:p>
      <w:pPr>
        <w:rPr>
          <w:rFonts w:hint="eastAsia" w:ascii="宋体" w:hAnsi="宋体" w:eastAsia="宋体" w:cs="宋体"/>
        </w:rPr>
      </w:pPr>
      <w:r>
        <w:rPr>
          <w:rFonts w:hint="eastAsia" w:ascii="宋体" w:hAnsi="宋体" w:eastAsia="宋体" w:cs="宋体"/>
        </w:rPr>
        <w:t>（5）夸大或者片面宣传基金，违规使用安全、保证、承诺、保险、避险、有保障、高收益、无风险等可能使投资人认为没有风险的或者片面强调集中营销时间限制的表述。</w:t>
      </w:r>
    </w:p>
    <w:p>
      <w:pPr>
        <w:rPr>
          <w:rFonts w:hint="eastAsia" w:ascii="宋体" w:hAnsi="宋体" w:eastAsia="宋体" w:cs="宋体"/>
        </w:rPr>
      </w:pPr>
      <w:r>
        <w:rPr>
          <w:rFonts w:hint="eastAsia" w:ascii="宋体" w:hAnsi="宋体" w:eastAsia="宋体" w:cs="宋体"/>
        </w:rPr>
        <w:t>（6）登载单位或者个人的推荐性文字。</w:t>
      </w:r>
    </w:p>
    <w:p>
      <w:pPr>
        <w:rPr>
          <w:rFonts w:hint="eastAsia" w:ascii="宋体" w:hAnsi="宋体" w:eastAsia="宋体" w:cs="宋体"/>
        </w:rPr>
      </w:pPr>
      <w:r>
        <w:rPr>
          <w:rFonts w:hint="eastAsia" w:ascii="宋体" w:hAnsi="宋体" w:eastAsia="宋体" w:cs="宋体"/>
        </w:rPr>
        <w:t>（7）基金宣传推介材料所使用的语言表述应当准确清晰，应当特别注意：</w:t>
      </w:r>
    </w:p>
    <w:p>
      <w:pPr>
        <w:rPr>
          <w:rFonts w:hint="eastAsia" w:ascii="宋体" w:hAnsi="宋体" w:eastAsia="宋体" w:cs="宋体"/>
        </w:rPr>
      </w:pPr>
      <w:r>
        <w:rPr>
          <w:rFonts w:hint="eastAsia" w:ascii="宋体" w:hAnsi="宋体" w:eastAsia="宋体" w:cs="宋体"/>
        </w:rPr>
        <w:t>①在缺乏足够证据支持的情况下，不得使用“业绩稳健„“业绩优良”“名列前茅”“位居前列”“首只”“最大”“最好”“最强”“唯一”等表述；</w:t>
      </w:r>
    </w:p>
    <w:p>
      <w:pPr>
        <w:rPr>
          <w:rFonts w:hint="eastAsia" w:ascii="宋体" w:hAnsi="宋体" w:eastAsia="宋体" w:cs="宋体"/>
        </w:rPr>
      </w:pPr>
      <w:r>
        <w:rPr>
          <w:rFonts w:hint="eastAsia" w:ascii="宋体" w:hAnsi="宋体" w:eastAsia="宋体" w:cs="宋体"/>
        </w:rPr>
        <w:t>②不得使用“坐享财富增长„“安心享受成长”“尽享牛市”等易使基金投资人忽视风险的表述；</w:t>
      </w:r>
    </w:p>
    <w:p>
      <w:pPr>
        <w:rPr>
          <w:rFonts w:hint="eastAsia" w:ascii="宋体" w:hAnsi="宋体" w:eastAsia="宋体" w:cs="宋体"/>
        </w:rPr>
      </w:pPr>
      <w:r>
        <w:rPr>
          <w:rFonts w:hint="eastAsia" w:ascii="宋体" w:hAnsi="宋体" w:eastAsia="宋体" w:cs="宋体"/>
        </w:rPr>
        <w:t>③不得使用“欲购从速”“申购良机”等片面强调集中营销时间限制的表述；</w:t>
      </w:r>
    </w:p>
    <w:p>
      <w:pPr>
        <w:rPr>
          <w:rFonts w:hint="eastAsia" w:ascii="宋体" w:hAnsi="宋体" w:eastAsia="宋体" w:cs="宋体"/>
        </w:rPr>
      </w:pPr>
      <w:r>
        <w:rPr>
          <w:rFonts w:hint="eastAsia" w:ascii="宋体" w:hAnsi="宋体" w:eastAsia="宋体" w:cs="宋体"/>
        </w:rPr>
        <w:t>④不得使用“净值归一”等误导基金投资人的表述。</w:t>
      </w:r>
    </w:p>
    <w:p>
      <w:pPr>
        <w:rPr>
          <w:rFonts w:hint="eastAsia" w:ascii="宋体" w:hAnsi="宋体" w:eastAsia="宋体" w:cs="宋体"/>
          <w:color w:val="003399"/>
        </w:rPr>
      </w:pPr>
      <w:r>
        <w:rPr>
          <w:rFonts w:hint="eastAsia" w:ascii="宋体" w:hAnsi="宋体" w:eastAsia="宋体" w:cs="宋体"/>
        </w:rPr>
        <w:t>（8）中国证监会规定的其他情形。</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bCs/>
          <w:color w:val="4472C4" w:themeColor="accent1"/>
          <w14:textFill>
            <w14:solidFill>
              <w14:schemeClr w14:val="accent1"/>
            </w14:solidFill>
          </w14:textFill>
        </w:rPr>
        <w:t>考点六</w:t>
      </w:r>
      <w:r>
        <w:rPr>
          <w:rFonts w:hint="eastAsia" w:ascii="宋体" w:hAnsi="宋体" w:eastAsia="宋体" w:cs="宋体"/>
          <w:color w:val="000000" w:themeColor="text1"/>
          <w14:textFill>
            <w14:solidFill>
              <w14:schemeClr w14:val="tx1"/>
            </w14:solidFill>
          </w14:textFill>
        </w:rPr>
        <w:t xml:space="preserve"> 货币市场基金宣传的要求</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1.基金管理人应当在招募说明书及推介材料显著位置说明，货币市场基金并不等于银行存款或储蓄，管理人不保证盈利也不保证最低收益。</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考点七</w:t>
      </w:r>
      <w:r>
        <w:rPr>
          <w:rFonts w:hint="eastAsia" w:ascii="宋体" w:hAnsi="宋体" w:eastAsia="宋体" w:cs="宋体"/>
        </w:rPr>
        <w:t xml:space="preserve"> 基金销售机构建立基金销售适用性管理制度，应当至少包括以下内容：</w:t>
      </w:r>
    </w:p>
    <w:p>
      <w:pPr>
        <w:rPr>
          <w:rFonts w:hint="eastAsia" w:ascii="宋体" w:hAnsi="宋体" w:eastAsia="宋体" w:cs="宋体"/>
        </w:rPr>
      </w:pPr>
      <w:r>
        <w:rPr>
          <w:rFonts w:hint="eastAsia" w:ascii="宋体" w:hAnsi="宋体" w:eastAsia="宋体" w:cs="宋体"/>
        </w:rPr>
        <w:t>（1）对基金管理人进行审慎调查的方式和方法；</w:t>
      </w:r>
    </w:p>
    <w:p>
      <w:pPr>
        <w:rPr>
          <w:rFonts w:hint="eastAsia" w:ascii="宋体" w:hAnsi="宋体" w:eastAsia="宋体" w:cs="宋体"/>
        </w:rPr>
      </w:pPr>
      <w:r>
        <w:rPr>
          <w:rFonts w:hint="eastAsia" w:ascii="宋体" w:hAnsi="宋体" w:eastAsia="宋体" w:cs="宋体"/>
        </w:rPr>
        <w:t>（2）对基金产品或者服务的风险等级进行设置，对基金产品或者服务进行风险评价的方式或方法；</w:t>
      </w:r>
    </w:p>
    <w:p>
      <w:pPr>
        <w:rPr>
          <w:rFonts w:hint="eastAsia" w:ascii="宋体" w:hAnsi="宋体" w:eastAsia="宋体" w:cs="宋体"/>
        </w:rPr>
      </w:pPr>
      <w:r>
        <w:rPr>
          <w:rFonts w:hint="eastAsia" w:ascii="宋体" w:hAnsi="宋体" w:eastAsia="宋体" w:cs="宋体"/>
        </w:rPr>
        <w:t>（3）对投资者进行分类的方法和程序、投资者转化的方法和程序；</w:t>
      </w:r>
    </w:p>
    <w:p>
      <w:pPr>
        <w:rPr>
          <w:rFonts w:hint="eastAsia" w:ascii="宋体" w:hAnsi="宋体" w:eastAsia="宋体" w:cs="宋体"/>
        </w:rPr>
      </w:pPr>
      <w:r>
        <w:rPr>
          <w:rFonts w:hint="eastAsia" w:ascii="宋体" w:hAnsi="宋体" w:eastAsia="宋体" w:cs="宋体"/>
        </w:rPr>
        <w:t>（4）对基金投资者风险承受能力进行调查和评价的方式和方法；</w:t>
      </w:r>
    </w:p>
    <w:p>
      <w:pPr>
        <w:rPr>
          <w:rFonts w:hint="eastAsia" w:ascii="宋体" w:hAnsi="宋体" w:eastAsia="宋体" w:cs="宋体"/>
        </w:rPr>
      </w:pPr>
      <w:r>
        <w:rPr>
          <w:rFonts w:hint="eastAsia" w:ascii="宋体" w:hAnsi="宋体" w:eastAsia="宋体" w:cs="宋体"/>
        </w:rPr>
        <w:t>（5）对基金产品或者服务和基金投资者进行匹配的方法。</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考点八</w:t>
      </w:r>
      <w:r>
        <w:rPr>
          <w:rFonts w:hint="eastAsia" w:ascii="宋体" w:hAnsi="宋体" w:eastAsia="宋体" w:cs="宋体"/>
        </w:rPr>
        <w:t xml:space="preserve"> 基金销售渠道审慎调查，具体包括以下四个方面：</w:t>
      </w:r>
    </w:p>
    <w:p>
      <w:pPr>
        <w:rPr>
          <w:rFonts w:hint="eastAsia" w:ascii="宋体" w:hAnsi="宋体" w:eastAsia="宋体" w:cs="宋体"/>
        </w:rPr>
      </w:pPr>
      <w:r>
        <w:rPr>
          <w:rFonts w:hint="eastAsia" w:ascii="宋体" w:hAnsi="宋体" w:eastAsia="宋体" w:cs="宋体"/>
        </w:rPr>
        <w:t>（1）基金代销机构通过对基金管理人进行审慎调查，了解基金管理人的诚信状况、经营管理能力、投资管理能力、产品设计能力和内部控制情况，并可将调查结果作为是否代销该基金管理人的基金产品或是否向基金投资人优先推介该基金管理人的重要依据。</w:t>
      </w:r>
    </w:p>
    <w:p>
      <w:pPr>
        <w:rPr>
          <w:rFonts w:hint="eastAsia" w:ascii="宋体" w:hAnsi="宋体" w:eastAsia="宋体" w:cs="宋体"/>
        </w:rPr>
      </w:pPr>
      <w:r>
        <w:rPr>
          <w:rFonts w:hint="eastAsia" w:ascii="宋体" w:hAnsi="宋体" w:eastAsia="宋体" w:cs="宋体"/>
        </w:rPr>
        <w:t>（2）基金管理人通过对基金代销机构进行审慎调查，了解基金代销机构的内部控制情况、信息管理平台建设、账户管理制度、销售人员能力和持续营销能力，并可将调查结果作为选择基金代销机构的重要依据。</w:t>
      </w:r>
    </w:p>
    <w:p>
      <w:pPr>
        <w:rPr>
          <w:rFonts w:hint="eastAsia" w:ascii="宋体" w:hAnsi="宋体" w:eastAsia="宋体" w:cs="宋体"/>
        </w:rPr>
      </w:pPr>
      <w:r>
        <w:rPr>
          <w:rFonts w:hint="eastAsia" w:ascii="宋体" w:hAnsi="宋体" w:eastAsia="宋体" w:cs="宋体"/>
        </w:rPr>
        <w:t>（3）基金销售机构在研究和执行对基金管理人、基金产品和基金投资人调查、评价的方法、标准和流程时，应当尽力减少主观因素和人为因素的干扰，尽量做到客观准确，并且有合理的理论依据。</w:t>
      </w:r>
    </w:p>
    <w:p>
      <w:pPr>
        <w:rPr>
          <w:rFonts w:hint="eastAsia" w:ascii="宋体" w:hAnsi="宋体" w:eastAsia="宋体" w:cs="宋体"/>
          <w:color w:val="003399"/>
        </w:rPr>
      </w:pPr>
      <w:r>
        <w:rPr>
          <w:rFonts w:hint="eastAsia" w:ascii="宋体" w:hAnsi="宋体" w:eastAsia="宋体" w:cs="宋体"/>
        </w:rPr>
        <w:t>（4）开展审慎调查应当优先根据被调查方公开披露的信息进行；接受被调查方提供的非公开信息使用的，必须对信息的适当性实施尽职甄别。</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考点九</w:t>
      </w:r>
      <w:r>
        <w:rPr>
          <w:rFonts w:hint="eastAsia" w:ascii="宋体" w:hAnsi="宋体" w:eastAsia="宋体" w:cs="宋体"/>
        </w:rPr>
        <w:t xml:space="preserve"> 基金销售适用性和投资者适当性产品风险评价的要求</w:t>
      </w:r>
    </w:p>
    <w:p>
      <w:pPr>
        <w:rPr>
          <w:rFonts w:hint="eastAsia" w:ascii="宋体" w:hAnsi="宋体" w:eastAsia="宋体" w:cs="宋体"/>
        </w:rPr>
      </w:pPr>
      <w:r>
        <w:rPr>
          <w:rFonts w:hint="eastAsia" w:ascii="宋体" w:hAnsi="宋体" w:eastAsia="宋体" w:cs="宋体"/>
        </w:rPr>
        <w:t>1.对基金产品的风险评价，可以由基金销售机构的特定部门完成，也可以由第三方的基金评级与评价机构提供。由基金评级与评价机构提供基金产品风险评价服务的，基金销售机构应当要求服务方提供基金产品风险评价方法及其说明。基金产品风险评价结果应当作为基金销售机构向基金投资人推介基金产品的重要依据。</w:t>
      </w:r>
    </w:p>
    <w:p>
      <w:pPr>
        <w:rPr>
          <w:rFonts w:hint="eastAsia" w:ascii="宋体" w:hAnsi="宋体" w:eastAsia="宋体" w:cs="宋体"/>
        </w:rPr>
      </w:pPr>
      <w:r>
        <w:rPr>
          <w:rFonts w:hint="eastAsia" w:ascii="宋体" w:hAnsi="宋体" w:eastAsia="宋体" w:cs="宋体"/>
        </w:rPr>
        <w:t>2.基金产品风险评价以基金产品的风险等级来具体反映，其产品至少分五个等级：R1、R2、R3、R4、R5。</w:t>
      </w:r>
    </w:p>
    <w:p>
      <w:pPr>
        <w:rPr>
          <w:rFonts w:hint="eastAsia" w:ascii="宋体" w:hAnsi="宋体" w:eastAsia="宋体" w:cs="宋体"/>
        </w:rPr>
      </w:pPr>
      <w:r>
        <w:rPr>
          <w:rFonts w:hint="eastAsia" w:ascii="宋体" w:hAnsi="宋体" w:eastAsia="宋体" w:cs="宋体"/>
        </w:rPr>
        <w:t>3.基金产品风险评价应当至少依据以下四个因素：</w:t>
      </w:r>
    </w:p>
    <w:p>
      <w:pPr>
        <w:rPr>
          <w:rFonts w:hint="eastAsia" w:ascii="宋体" w:hAnsi="宋体" w:eastAsia="宋体" w:cs="宋体"/>
        </w:rPr>
      </w:pPr>
      <w:r>
        <w:rPr>
          <w:rFonts w:hint="eastAsia" w:ascii="宋体" w:hAnsi="宋体" w:eastAsia="宋体" w:cs="宋体"/>
        </w:rPr>
        <w:t>（1）基金招募说明书所明示的投资方向、投资范围和投资比例，</w:t>
      </w:r>
    </w:p>
    <w:p>
      <w:pPr>
        <w:rPr>
          <w:rFonts w:hint="eastAsia" w:ascii="宋体" w:hAnsi="宋体" w:eastAsia="宋体" w:cs="宋体"/>
        </w:rPr>
      </w:pPr>
      <w:r>
        <w:rPr>
          <w:rFonts w:hint="eastAsia" w:ascii="宋体" w:hAnsi="宋体" w:eastAsia="宋体" w:cs="宋体"/>
        </w:rPr>
        <w:t>（2）基金的历史规模和持仓比例，</w:t>
      </w:r>
    </w:p>
    <w:p>
      <w:pPr>
        <w:rPr>
          <w:rFonts w:hint="eastAsia" w:ascii="宋体" w:hAnsi="宋体" w:eastAsia="宋体" w:cs="宋体"/>
        </w:rPr>
      </w:pPr>
      <w:r>
        <w:rPr>
          <w:rFonts w:hint="eastAsia" w:ascii="宋体" w:hAnsi="宋体" w:eastAsia="宋体" w:cs="宋体"/>
        </w:rPr>
        <w:t>（3）基金的过往业绩及基金净值的历史波动程度，</w:t>
      </w:r>
    </w:p>
    <w:p>
      <w:pPr>
        <w:rPr>
          <w:rFonts w:hint="eastAsia" w:ascii="宋体" w:hAnsi="宋体" w:eastAsia="宋体" w:cs="宋体"/>
        </w:rPr>
      </w:pPr>
      <w:r>
        <w:rPr>
          <w:rFonts w:hint="eastAsia" w:ascii="宋体" w:hAnsi="宋体" w:eastAsia="宋体" w:cs="宋体"/>
        </w:rPr>
        <w:t>（4）基金成立以来有无违规行为发生。</w:t>
      </w:r>
    </w:p>
    <w:p>
      <w:pPr>
        <w:rPr>
          <w:rFonts w:hint="eastAsia" w:ascii="宋体" w:hAnsi="宋体" w:eastAsia="宋体" w:cs="宋体"/>
        </w:rPr>
      </w:pPr>
      <w:r>
        <w:rPr>
          <w:rFonts w:hint="eastAsia" w:ascii="宋体" w:hAnsi="宋体" w:eastAsia="宋体" w:cs="宋体"/>
        </w:rPr>
        <w:t>4.基金销售机构所使用的基金产品风险评价方法及其说明，应当通过适当途径向基金投资人公开。基金产品风险评价的结果应当定期更新，过往的评价结果应当作为历史记录保存。</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十一</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rPr>
        <w:t>基金销售适用性和投资者适当性基金投资人风险承受能力调查和评价的要求</w:t>
      </w:r>
    </w:p>
    <w:p>
      <w:pPr>
        <w:rPr>
          <w:rFonts w:hint="eastAsia" w:ascii="宋体" w:hAnsi="宋体" w:eastAsia="宋体" w:cs="宋体"/>
        </w:rPr>
      </w:pPr>
      <w:r>
        <w:rPr>
          <w:rFonts w:hint="eastAsia" w:ascii="宋体" w:hAnsi="宋体" w:eastAsia="宋体" w:cs="宋体"/>
        </w:rPr>
        <w:t>1.基金投资人评价应以基金投资人的风险承受能力类型来具体反映，普通投资者风险承受能力应至少分为五个类型，分别为C1、C2、C3、C4、C5，其中C1含风险承受能力最低类别。</w:t>
      </w:r>
    </w:p>
    <w:p>
      <w:pPr>
        <w:rPr>
          <w:rFonts w:hint="eastAsia" w:ascii="宋体" w:hAnsi="宋体" w:eastAsia="宋体" w:cs="宋体"/>
        </w:rPr>
      </w:pPr>
      <w:r>
        <w:rPr>
          <w:rFonts w:hint="eastAsia" w:ascii="宋体" w:hAnsi="宋体" w:eastAsia="宋体" w:cs="宋体"/>
        </w:rPr>
        <w:t>2.基金销售机构应当在基金投资人首次开立基金交易账户时或首次购买基金产品前对基金投资人的风险承受能力进行调查和评价；对已经购买了基金产品的基金投资人，基金销售机构也应当追溯调查，评价该基金投资人的风险承受能力。基金投资人放弃接受调查的，基金销售机构应当通过其他合理的规则或方法评价该基金投资人的风险承受能力。</w:t>
      </w:r>
    </w:p>
    <w:p>
      <w:pPr>
        <w:rPr>
          <w:rFonts w:hint="eastAsia" w:ascii="宋体" w:hAnsi="宋体" w:eastAsia="宋体" w:cs="宋体"/>
        </w:rPr>
      </w:pPr>
      <w:r>
        <w:rPr>
          <w:rFonts w:hint="eastAsia" w:ascii="宋体" w:hAnsi="宋体" w:eastAsia="宋体" w:cs="宋体"/>
        </w:rPr>
        <w:t>3.基金销售机构可以采用当面、信函、网络或对已有的客户信息进行分析等方式对基金投资人的风险承受能力进行调查，并向基金投资人及时反馈评价的结果。</w:t>
      </w:r>
    </w:p>
    <w:p>
      <w:pPr>
        <w:rPr>
          <w:rFonts w:hint="eastAsia" w:ascii="宋体" w:hAnsi="宋体" w:eastAsia="宋体" w:cs="宋体"/>
        </w:rPr>
      </w:pPr>
      <w:r>
        <w:rPr>
          <w:rFonts w:hint="eastAsia" w:ascii="宋体" w:hAnsi="宋体" w:eastAsia="宋体" w:cs="宋体"/>
        </w:rPr>
        <w:t>4.对基金投资人进行风险承受能力调查，应当从调查结果中至少了解到基金投资人的以下情况：投资目的，投资期限，投资经验，财务状况，短期风险承受水平，长期风险承受水平。</w:t>
      </w:r>
    </w:p>
    <w:p>
      <w:pPr>
        <w:rPr>
          <w:rFonts w:hint="eastAsia" w:ascii="宋体" w:hAnsi="宋体" w:eastAsia="宋体" w:cs="宋体"/>
        </w:rPr>
      </w:pPr>
      <w:r>
        <w:rPr>
          <w:rFonts w:hint="eastAsia" w:ascii="宋体" w:hAnsi="宋体" w:eastAsia="宋体" w:cs="宋体"/>
        </w:rPr>
        <w:t>5.采用问卷等进行调查的，基金销售机构应当制定统一的问卷格式，同时应当在问卷的显著位置提示基金投资人在基金购买过程中注意核对自己的风险承受能力和基金产品风险的匹配情况。</w:t>
      </w:r>
    </w:p>
    <w:p>
      <w:pPr>
        <w:rPr>
          <w:rFonts w:hint="eastAsia" w:ascii="宋体" w:hAnsi="宋体" w:eastAsia="宋体" w:cs="宋体"/>
          <w:sz w:val="21"/>
          <w:szCs w:val="21"/>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十二</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sz w:val="21"/>
          <w:szCs w:val="21"/>
        </w:rPr>
        <w:t>专业投资者（满足下列条件之一即可）：</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1）经有关金融监管部门批准设立的金融机构，包括证券公司、期货公司、基金管理公司及其子公司、商业银行、保险公司、信托公司、财务公司等；经行业协会备案或者登记的证券公司子公司、期货子公司、私募基金管理人。</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（2）上述机构面向投资者发行的理财产品，包括但不限于证券公司资产管理产品、基金管理公司及其子公司产品、期货公司资产管理产品、银行理财产品、保险产品、信托产品、经行业协会备案的私募基金。</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（3）社会保障基金、企业年金等养老基金，慈善基金等社会公益基金，合格境外机构投资者（QDII）、人民币合格境外机构投资者（RQFII）。</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（4）同时符合下列条件的法人或者其他组织：最近1年末净资产不低于2000万元；最近1年末金融资产不低于1000万元；具有2年以上证券、基金、期货、黄金、外汇等投资经历。</w:t>
      </w:r>
    </w:p>
    <w:p>
      <w:pPr>
        <w:spacing w:beforeLines="50" w:beforeAutospacing="0" w:after="0"/>
        <w:rPr>
          <w:rFonts w:hint="eastAsia" w:ascii="宋体" w:hAnsi="宋体" w:eastAsia="宋体" w:cs="宋体"/>
          <w:b/>
          <w:bCs/>
          <w:color w:val="4472C4" w:themeColor="accent1"/>
          <w:lang w:val="en-US" w:eastAsia="zh-CN"/>
          <w14:textFill>
            <w14:solidFill>
              <w14:schemeClr w14:val="accent1"/>
            </w14:solidFill>
          </w14:textFill>
        </w:rPr>
      </w:pPr>
      <w:r>
        <w:rPr>
          <w:rFonts w:hint="eastAsia" w:ascii="宋体" w:hAnsi="宋体" w:eastAsia="宋体" w:cs="宋体"/>
          <w:sz w:val="21"/>
          <w:szCs w:val="21"/>
        </w:rPr>
        <w:t>（5）同时符合下列条件的自然人：金融资产不低于500万元，或者最近3年个人年均收入不低于50万元；具有2年以上证券、基金、期货、黄金、外汇等投资经历，或者具有2年以上金融产品设计、投资、风险管理及相关工作经历，或者上述第（1）项规定的专业投资者的高级管理人员、获得职业资格认证的从事金融相关业务的注册会计师和律师。</w:t>
      </w:r>
    </w:p>
    <w:p>
      <w:pPr>
        <w:spacing w:beforeLines="50" w:beforeAutospacing="0" w:after="0"/>
        <w:rPr>
          <w:rFonts w:hint="eastAsia" w:ascii="宋体" w:hAnsi="宋体" w:eastAsia="宋体" w:cs="宋体"/>
          <w:b/>
          <w:sz w:val="24"/>
          <w:szCs w:val="24"/>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十三</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bCs/>
          <w:sz w:val="24"/>
          <w:szCs w:val="24"/>
        </w:rPr>
        <w:t>普通投资者特别保护的内容</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1.</w:t>
      </w:r>
      <w:r>
        <w:rPr>
          <w:rFonts w:hint="eastAsia" w:ascii="宋体" w:hAnsi="宋体" w:eastAsia="宋体" w:cs="宋体"/>
          <w:sz w:val="21"/>
          <w:szCs w:val="21"/>
        </w:rPr>
        <w:t>普通投资者在信息告知、风险警示、适当性匹配等方面享有特别保护。基金销售机构对普通投资者承担以下特别责任和要求：</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（1）</w:t>
      </w:r>
      <w:r>
        <w:rPr>
          <w:rFonts w:hint="eastAsia" w:ascii="宋体" w:hAnsi="宋体" w:eastAsia="宋体" w:cs="宋体"/>
          <w:sz w:val="21"/>
          <w:szCs w:val="21"/>
        </w:rPr>
        <w:t>细化分类和管理义务。确定普通投资者的风险承受能力。对其进行细化分类的管理。</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（2）</w:t>
      </w:r>
      <w:r>
        <w:rPr>
          <w:rFonts w:hint="eastAsia" w:ascii="宋体" w:hAnsi="宋体" w:eastAsia="宋体" w:cs="宋体"/>
          <w:sz w:val="21"/>
          <w:szCs w:val="21"/>
        </w:rPr>
        <w:t>特别的注意义务。包括制定专门的工作程序，追加了解相关信息，告知特别风险点，给予普通投资者更多的考虑时间，增加回访频次等。</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（3）</w:t>
      </w:r>
      <w:r>
        <w:rPr>
          <w:rFonts w:hint="eastAsia" w:ascii="宋体" w:hAnsi="宋体" w:eastAsia="宋体" w:cs="宋体"/>
          <w:sz w:val="21"/>
          <w:szCs w:val="21"/>
        </w:rPr>
        <w:t>特别告知义务。</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①可能直接导致本金亏损的事项；②可能直接导致超过原始本金损失的事项；③因经营机构的业务或者财产状况变化，可能导致本金或者原始本金亏损的事项；④因经营机构的业务或者财产状况变化，影响客户判断的重要事由；⑤限制销售对象权利行使期限或者可解除合同期限等全部限制内容；⑥投资者适当性匹配意见。</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（4）</w:t>
      </w:r>
      <w:r>
        <w:rPr>
          <w:rFonts w:hint="eastAsia" w:ascii="宋体" w:hAnsi="宋体" w:eastAsia="宋体" w:cs="宋体"/>
          <w:sz w:val="21"/>
          <w:szCs w:val="21"/>
        </w:rPr>
        <w:t>不得主动推介超越风险承受能力或不符合投资目标的产品义务。</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（5）</w:t>
      </w:r>
      <w:r>
        <w:rPr>
          <w:rFonts w:hint="eastAsia" w:ascii="宋体" w:hAnsi="宋体" w:eastAsia="宋体" w:cs="宋体"/>
          <w:sz w:val="21"/>
          <w:szCs w:val="21"/>
        </w:rPr>
        <w:t>举证责任倒置原则。</w:t>
      </w:r>
    </w:p>
    <w:p>
      <w:pPr>
        <w:spacing w:beforeLines="50" w:beforeAutospacing="0" w:after="0"/>
        <w:rPr>
          <w:rFonts w:hint="eastAsia" w:ascii="宋体" w:hAnsi="宋体" w:eastAsia="宋体" w:cs="宋体"/>
          <w:b/>
          <w:bCs/>
          <w:color w:val="4472C4" w:themeColor="accent1"/>
          <w:lang w:val="en-US" w:eastAsia="zh-CN"/>
          <w14:textFill>
            <w14:solidFill>
              <w14:schemeClr w14:val="accent1"/>
            </w14:solidFill>
          </w14:textFill>
        </w:rPr>
      </w:pPr>
      <w:r>
        <w:rPr>
          <w:rFonts w:hint="eastAsia" w:ascii="宋体" w:hAnsi="宋体" w:eastAsia="宋体" w:cs="宋体"/>
          <w:bCs/>
          <w:sz w:val="21"/>
          <w:szCs w:val="21"/>
        </w:rPr>
        <w:t>（6）</w:t>
      </w:r>
      <w:r>
        <w:rPr>
          <w:rFonts w:hint="eastAsia" w:ascii="宋体" w:hAnsi="宋体" w:eastAsia="宋体" w:cs="宋体"/>
          <w:sz w:val="21"/>
          <w:szCs w:val="21"/>
        </w:rPr>
        <w:t>录音或录像要求。向普通投资者销售产品或者提供服务前，履行普通投资者特别告知义务。</w:t>
      </w:r>
    </w:p>
    <w:p>
      <w:pPr>
        <w:spacing w:beforeLines="50" w:beforeAutospacing="0" w:after="0"/>
        <w:rPr>
          <w:rFonts w:hint="eastAsia" w:ascii="宋体" w:hAnsi="宋体" w:eastAsia="宋体" w:cs="宋体"/>
          <w:b w:val="0"/>
          <w:bCs/>
          <w:sz w:val="24"/>
          <w:szCs w:val="24"/>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十四</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bCs/>
          <w:sz w:val="24"/>
          <w:szCs w:val="24"/>
        </w:rPr>
        <w:t>非公开募集基金的销售行为规范</w:t>
      </w:r>
    </w:p>
    <w:p>
      <w:pPr>
        <w:spacing w:beforeLines="50" w:beforeAutospacing="0" w:after="0"/>
        <w:rPr>
          <w:rFonts w:hint="eastAsia" w:ascii="宋体" w:hAnsi="宋体" w:eastAsia="宋体" w:cs="宋体"/>
          <w:sz w:val="21"/>
          <w:szCs w:val="21"/>
        </w:rPr>
      </w:pPr>
      <w:r>
        <w:rPr>
          <w:rFonts w:hint="eastAsia" w:ascii="宋体" w:hAnsi="宋体" w:eastAsia="宋体" w:cs="宋体"/>
          <w:bCs/>
          <w:sz w:val="21"/>
          <w:szCs w:val="21"/>
        </w:rPr>
        <w:t>1.</w:t>
      </w:r>
      <w:r>
        <w:rPr>
          <w:rFonts w:hint="eastAsia" w:ascii="宋体" w:hAnsi="宋体" w:eastAsia="宋体" w:cs="宋体"/>
          <w:sz w:val="21"/>
          <w:szCs w:val="21"/>
        </w:rPr>
        <w:t>投资者的风险评估结果有效期最长不得超过3年。募集机构逾期再次向投资者推介私募基金时，需重新进行投资者风险评估。</w:t>
      </w:r>
    </w:p>
    <w:p>
      <w:pPr>
        <w:spacing w:beforeLines="50" w:beforeAutospacing="0" w:after="0"/>
        <w:rPr>
          <w:rFonts w:hint="eastAsia" w:ascii="宋体" w:hAnsi="宋体" w:eastAsia="宋体" w:cs="宋体"/>
          <w:sz w:val="21"/>
          <w:szCs w:val="21"/>
        </w:rPr>
      </w:pPr>
      <w:r>
        <w:rPr>
          <w:rFonts w:hint="eastAsia" w:ascii="宋体" w:hAnsi="宋体" w:eastAsia="宋体" w:cs="宋体"/>
          <w:sz w:val="21"/>
          <w:szCs w:val="21"/>
        </w:rPr>
        <w:t>2.私募机构应当自行或者委托第三方机构对私募基金进行风险评级，建立科学有效的私募基金风险评级标准和方法。</w:t>
      </w:r>
    </w:p>
    <w:p>
      <w:pPr>
        <w:rPr>
          <w:rFonts w:hint="eastAsia" w:ascii="宋体" w:hAnsi="宋体" w:eastAsia="宋体" w:cs="宋体"/>
          <w:b/>
          <w:bCs/>
          <w:color w:val="4472C4" w:themeColor="accent1"/>
          <w:lang w:eastAsia="zh-CN"/>
          <w14:textFill>
            <w14:solidFill>
              <w14:schemeClr w14:val="accent1"/>
            </w14:solidFill>
          </w14:textFill>
        </w:rPr>
      </w:pPr>
    </w:p>
    <w:p>
      <w:pPr>
        <w:jc w:val="center"/>
        <w:rPr>
          <w:rFonts w:hint="eastAsia" w:ascii="宋体" w:hAnsi="宋体" w:eastAsia="宋体" w:cs="宋体"/>
          <w:b/>
          <w:bCs/>
        </w:rPr>
      </w:pPr>
      <w:r>
        <w:rPr>
          <w:rFonts w:hint="eastAsia" w:ascii="宋体" w:hAnsi="宋体" w:eastAsia="宋体" w:cs="宋体"/>
          <w:b/>
          <w:bCs/>
        </w:rPr>
        <w:t>第十章</w:t>
      </w:r>
      <w:r>
        <w:rPr>
          <w:rFonts w:hint="eastAsia" w:ascii="宋体" w:hAnsi="宋体" w:eastAsia="宋体" w:cs="宋体"/>
          <w:b/>
          <w:bCs/>
        </w:rPr>
        <w:t xml:space="preserve"> </w:t>
      </w:r>
      <w:r>
        <w:rPr>
          <w:rFonts w:hint="eastAsia" w:ascii="宋体" w:hAnsi="宋体" w:eastAsia="宋体" w:cs="宋体"/>
          <w:b/>
          <w:bCs/>
        </w:rPr>
        <w:t>基金客户服务</w:t>
      </w:r>
    </w:p>
    <w:p>
      <w:pPr>
        <w:rPr>
          <w:rFonts w:hint="eastAsia" w:ascii="宋体" w:hAnsi="宋体" w:eastAsia="宋体" w:cs="宋体"/>
          <w:lang w:eastAsia="zh-CN"/>
        </w:rPr>
      </w:pPr>
      <w:r>
        <w:rPr>
          <w:rFonts w:hint="eastAsia" w:ascii="宋体" w:hAnsi="宋体" w:eastAsia="宋体" w:cs="宋体"/>
          <w:b/>
          <w:bCs/>
          <w:color w:val="4472C4" w:themeColor="accent1"/>
          <w14:textFill>
            <w14:solidFill>
              <w14:schemeClr w14:val="accent1"/>
            </w14:solidFill>
          </w14:textFill>
        </w:rPr>
        <w:t xml:space="preserve">考点一 </w:t>
      </w:r>
      <w:r>
        <w:rPr>
          <w:rFonts w:hint="eastAsia" w:ascii="宋体" w:hAnsi="宋体" w:eastAsia="宋体" w:cs="宋体"/>
        </w:rPr>
        <w:t>基金客户服务的特点</w:t>
      </w:r>
      <w:r>
        <w:rPr>
          <w:rFonts w:hint="eastAsia" w:ascii="宋体" w:hAnsi="宋体" w:eastAsia="宋体" w:cs="宋体"/>
          <w:lang w:eastAsia="zh-CN"/>
        </w:rPr>
        <w:t>和原则</w:t>
      </w:r>
    </w:p>
    <w:p>
      <w:pPr>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基金客户服务的特点：</w:t>
      </w:r>
    </w:p>
    <w:p>
      <w:pPr>
        <w:rPr>
          <w:rFonts w:hint="eastAsia" w:ascii="宋体" w:hAnsi="宋体" w:eastAsia="宋体" w:cs="宋体"/>
        </w:rPr>
      </w:pPr>
      <w:r>
        <w:rPr>
          <w:rFonts w:hint="eastAsia" w:ascii="宋体" w:hAnsi="宋体" w:eastAsia="宋体" w:cs="宋体"/>
        </w:rPr>
        <w:t>（1）专业性</w:t>
      </w:r>
    </w:p>
    <w:p>
      <w:pPr>
        <w:rPr>
          <w:rFonts w:hint="eastAsia" w:ascii="宋体" w:hAnsi="宋体" w:eastAsia="宋体" w:cs="宋体"/>
        </w:rPr>
      </w:pPr>
      <w:r>
        <w:rPr>
          <w:rFonts w:hint="eastAsia" w:ascii="宋体" w:hAnsi="宋体" w:eastAsia="宋体" w:cs="宋体"/>
        </w:rPr>
        <w:t>（2）规范性</w:t>
      </w:r>
    </w:p>
    <w:p>
      <w:pPr>
        <w:rPr>
          <w:rFonts w:hint="eastAsia" w:ascii="宋体" w:hAnsi="宋体" w:eastAsia="宋体" w:cs="宋体"/>
        </w:rPr>
      </w:pPr>
      <w:r>
        <w:rPr>
          <w:rFonts w:hint="eastAsia" w:ascii="宋体" w:hAnsi="宋体" w:eastAsia="宋体" w:cs="宋体"/>
        </w:rPr>
        <w:t>（3）持续性</w:t>
      </w:r>
    </w:p>
    <w:p>
      <w:pPr>
        <w:rPr>
          <w:rFonts w:hint="eastAsia" w:ascii="宋体" w:hAnsi="宋体" w:eastAsia="宋体" w:cs="宋体"/>
        </w:rPr>
      </w:pPr>
      <w:r>
        <w:rPr>
          <w:rFonts w:hint="eastAsia" w:ascii="宋体" w:hAnsi="宋体" w:eastAsia="宋体" w:cs="宋体"/>
        </w:rPr>
        <w:t>（4）时效性。</w:t>
      </w:r>
    </w:p>
    <w:p>
      <w:pPr>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.基金客户服务的原则：</w:t>
      </w:r>
    </w:p>
    <w:p>
      <w:pPr>
        <w:rPr>
          <w:rFonts w:hint="eastAsia" w:ascii="宋体" w:hAnsi="宋体" w:eastAsia="宋体" w:cs="宋体"/>
        </w:rPr>
      </w:pPr>
      <w:r>
        <w:rPr>
          <w:rFonts w:hint="eastAsia" w:ascii="宋体" w:hAnsi="宋体" w:eastAsia="宋体" w:cs="宋体"/>
        </w:rPr>
        <w:t>基金客户服务的宗旨是“投资者利益优先”。</w:t>
      </w:r>
    </w:p>
    <w:p>
      <w:pPr>
        <w:rPr>
          <w:rFonts w:hint="eastAsia" w:ascii="宋体" w:hAnsi="宋体" w:eastAsia="宋体" w:cs="宋体"/>
        </w:rPr>
      </w:pPr>
      <w:r>
        <w:rPr>
          <w:rFonts w:hint="eastAsia" w:ascii="宋体" w:hAnsi="宋体" w:eastAsia="宋体" w:cs="宋体"/>
        </w:rPr>
        <w:t>（1）投资者利益优先原则</w:t>
      </w:r>
    </w:p>
    <w:p>
      <w:pPr>
        <w:rPr>
          <w:rFonts w:hint="eastAsia" w:ascii="宋体" w:hAnsi="宋体" w:eastAsia="宋体" w:cs="宋体"/>
        </w:rPr>
      </w:pPr>
      <w:r>
        <w:rPr>
          <w:rFonts w:hint="eastAsia" w:ascii="宋体" w:hAnsi="宋体" w:eastAsia="宋体" w:cs="宋体"/>
        </w:rPr>
        <w:t>（2）有效沟通原则</w:t>
      </w:r>
    </w:p>
    <w:p>
      <w:pPr>
        <w:rPr>
          <w:rFonts w:hint="eastAsia" w:ascii="宋体" w:hAnsi="宋体" w:eastAsia="宋体" w:cs="宋体"/>
        </w:rPr>
      </w:pPr>
      <w:r>
        <w:rPr>
          <w:rFonts w:hint="eastAsia" w:ascii="宋体" w:hAnsi="宋体" w:eastAsia="宋体" w:cs="宋体"/>
        </w:rPr>
        <w:t>（3）安全第一原则</w:t>
      </w:r>
    </w:p>
    <w:p>
      <w:pPr>
        <w:rPr>
          <w:rFonts w:hint="eastAsia" w:ascii="宋体" w:hAnsi="宋体" w:eastAsia="宋体" w:cs="宋体"/>
        </w:rPr>
      </w:pPr>
      <w:r>
        <w:rPr>
          <w:rFonts w:hint="eastAsia" w:ascii="宋体" w:hAnsi="宋体" w:eastAsia="宋体" w:cs="宋体"/>
        </w:rPr>
        <w:t>（4）专业规范原则</w:t>
      </w:r>
    </w:p>
    <w:p>
      <w:pPr>
        <w:rPr>
          <w:rFonts w:hint="eastAsia" w:ascii="宋体" w:hAnsi="宋体" w:eastAsia="宋体" w:cs="宋体"/>
        </w:rPr>
      </w:pPr>
      <w:r>
        <w:rPr>
          <w:rFonts w:hint="eastAsia" w:ascii="宋体" w:hAnsi="宋体" w:eastAsia="宋体" w:cs="宋体"/>
        </w:rPr>
        <w:t>（5）适当性管理原则</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考点二</w:t>
      </w:r>
      <w:r>
        <w:rPr>
          <w:rFonts w:hint="eastAsia" w:ascii="宋体" w:hAnsi="宋体" w:eastAsia="宋体" w:cs="宋体"/>
        </w:rPr>
        <w:t xml:space="preserve"> 基金客户服务提供方式：</w:t>
      </w:r>
    </w:p>
    <w:p>
      <w:pPr>
        <w:rPr>
          <w:rFonts w:hint="eastAsia" w:ascii="宋体" w:hAnsi="宋体" w:eastAsia="宋体" w:cs="宋体"/>
        </w:rPr>
      </w:pPr>
      <w:r>
        <w:rPr>
          <w:rFonts w:hint="eastAsia" w:ascii="宋体" w:hAnsi="宋体" w:eastAsia="宋体" w:cs="宋体"/>
        </w:rPr>
        <w:t>（1）电话服务中心</w:t>
      </w:r>
    </w:p>
    <w:p>
      <w:pPr>
        <w:rPr>
          <w:rFonts w:hint="eastAsia" w:ascii="宋体" w:hAnsi="宋体" w:eastAsia="宋体" w:cs="宋体"/>
        </w:rPr>
      </w:pPr>
      <w:r>
        <w:rPr>
          <w:rFonts w:hint="eastAsia" w:ascii="宋体" w:hAnsi="宋体" w:eastAsia="宋体" w:cs="宋体"/>
        </w:rPr>
        <w:t>（2）邮寄服务</w:t>
      </w:r>
    </w:p>
    <w:p>
      <w:pPr>
        <w:rPr>
          <w:rFonts w:hint="eastAsia" w:ascii="宋体" w:hAnsi="宋体" w:eastAsia="宋体" w:cs="宋体"/>
        </w:rPr>
      </w:pPr>
      <w:r>
        <w:rPr>
          <w:rFonts w:hint="eastAsia" w:ascii="宋体" w:hAnsi="宋体" w:eastAsia="宋体" w:cs="宋体"/>
        </w:rPr>
        <w:t>（3）自动传真、电子信箱与手机短信</w:t>
      </w:r>
    </w:p>
    <w:p>
      <w:pPr>
        <w:rPr>
          <w:rFonts w:hint="eastAsia" w:ascii="宋体" w:hAnsi="宋体" w:eastAsia="宋体" w:cs="宋体"/>
        </w:rPr>
      </w:pPr>
      <w:r>
        <w:rPr>
          <w:rFonts w:hint="eastAsia" w:ascii="宋体" w:hAnsi="宋体" w:eastAsia="宋体" w:cs="宋体"/>
        </w:rPr>
        <w:t>（4）“一对一”专人服务</w:t>
      </w:r>
    </w:p>
    <w:p>
      <w:pPr>
        <w:rPr>
          <w:rFonts w:hint="eastAsia" w:ascii="宋体" w:hAnsi="宋体" w:eastAsia="宋体" w:cs="宋体"/>
        </w:rPr>
      </w:pPr>
      <w:r>
        <w:rPr>
          <w:rFonts w:hint="eastAsia" w:ascii="宋体" w:hAnsi="宋体" w:eastAsia="宋体" w:cs="宋体"/>
        </w:rPr>
        <w:t>（5）互联网的应用</w:t>
      </w:r>
    </w:p>
    <w:p>
      <w:pPr>
        <w:rPr>
          <w:rFonts w:hint="eastAsia" w:ascii="宋体" w:hAnsi="宋体" w:eastAsia="宋体" w:cs="宋体"/>
        </w:rPr>
      </w:pPr>
      <w:r>
        <w:rPr>
          <w:rFonts w:hint="eastAsia" w:ascii="宋体" w:hAnsi="宋体" w:eastAsia="宋体" w:cs="宋体"/>
        </w:rPr>
        <w:t>（6）媒体和宣传手册的应用</w:t>
      </w:r>
    </w:p>
    <w:p>
      <w:pPr>
        <w:rPr>
          <w:rFonts w:hint="eastAsia" w:ascii="宋体" w:hAnsi="宋体" w:eastAsia="宋体" w:cs="宋体"/>
        </w:rPr>
      </w:pPr>
      <w:r>
        <w:rPr>
          <w:rFonts w:hint="eastAsia" w:ascii="宋体" w:hAnsi="宋体" w:eastAsia="宋体" w:cs="宋体"/>
        </w:rPr>
        <w:t>（7）讲座、推介会和座谈会</w:t>
      </w:r>
    </w:p>
    <w:p>
      <w:pPr>
        <w:rPr>
          <w:rFonts w:hint="eastAsia" w:ascii="宋体" w:hAnsi="宋体" w:eastAsia="宋体" w:cs="宋体"/>
        </w:rPr>
      </w:pPr>
      <w:r>
        <w:rPr>
          <w:rFonts w:hint="eastAsia" w:ascii="宋体" w:hAnsi="宋体" w:eastAsia="宋体" w:cs="宋体"/>
        </w:rPr>
        <w:t>（8）微信和移动客户端的应用</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考点三</w:t>
      </w:r>
      <w:r>
        <w:rPr>
          <w:rFonts w:hint="eastAsia" w:ascii="宋体" w:hAnsi="宋体" w:eastAsia="宋体" w:cs="宋体"/>
        </w:rPr>
        <w:t xml:space="preserve"> 基金客户个性化服务：</w:t>
      </w:r>
    </w:p>
    <w:p>
      <w:pPr>
        <w:rPr>
          <w:rFonts w:hint="eastAsia" w:ascii="宋体" w:hAnsi="宋体" w:eastAsia="宋体" w:cs="宋体"/>
        </w:rPr>
      </w:pPr>
      <w:r>
        <w:rPr>
          <w:rFonts w:hint="eastAsia" w:ascii="宋体" w:hAnsi="宋体" w:eastAsia="宋体" w:cs="宋体"/>
        </w:rPr>
        <w:t>（1）做好客户的动态分析</w:t>
      </w:r>
    </w:p>
    <w:p>
      <w:pPr>
        <w:rPr>
          <w:rFonts w:hint="eastAsia" w:ascii="宋体" w:hAnsi="宋体" w:eastAsia="宋体" w:cs="宋体"/>
        </w:rPr>
      </w:pPr>
      <w:r>
        <w:rPr>
          <w:rFonts w:hint="eastAsia" w:ascii="宋体" w:hAnsi="宋体" w:eastAsia="宋体" w:cs="宋体"/>
        </w:rPr>
        <w:t>（2）通过加强客户沟通了解客户深度需求</w:t>
      </w:r>
    </w:p>
    <w:p>
      <w:pPr>
        <w:rPr>
          <w:rFonts w:hint="eastAsia" w:ascii="宋体" w:hAnsi="宋体" w:eastAsia="宋体" w:cs="宋体"/>
        </w:rPr>
      </w:pPr>
      <w:r>
        <w:rPr>
          <w:rFonts w:hint="eastAsia" w:ascii="宋体" w:hAnsi="宋体" w:eastAsia="宋体" w:cs="宋体"/>
        </w:rPr>
        <w:t>（3）做好客户的参谋</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考点四</w:t>
      </w:r>
      <w:r>
        <w:rPr>
          <w:rFonts w:hint="eastAsia" w:ascii="宋体" w:hAnsi="宋体" w:eastAsia="宋体" w:cs="宋体"/>
        </w:rPr>
        <w:t xml:space="preserve"> 相对收益</w:t>
      </w:r>
    </w:p>
    <w:p>
      <w:pPr>
        <w:rPr>
          <w:rFonts w:hint="eastAsia" w:ascii="宋体" w:hAnsi="宋体" w:eastAsia="宋体" w:cs="宋体"/>
        </w:rPr>
      </w:pPr>
      <w:r>
        <w:rPr>
          <w:rFonts w:hint="eastAsia" w:ascii="宋体" w:hAnsi="宋体" w:eastAsia="宋体" w:cs="宋体"/>
        </w:rPr>
        <w:t>基金的相对收益，又叫超额收益，代表一定时间区间内，</w:t>
      </w:r>
      <w:r>
        <w:rPr>
          <w:rFonts w:hint="eastAsia" w:ascii="宋体" w:hAnsi="宋体" w:eastAsia="宋体" w:cs="宋体"/>
          <w:color w:val="003399"/>
        </w:rPr>
        <w:t>基金收益超出业绩比较基准的部分。</w:t>
      </w:r>
      <w:r>
        <w:rPr>
          <w:rFonts w:hint="eastAsia" w:ascii="宋体" w:hAnsi="宋体" w:eastAsia="宋体" w:cs="宋体"/>
        </w:rPr>
        <w:t>投资者和基金管理公司可以根据基金特征选择适当的指数作为业绩比较基准，并进而评估基金的相对收益。</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考点五</w:t>
      </w:r>
      <w:r>
        <w:rPr>
          <w:rFonts w:hint="eastAsia" w:ascii="宋体" w:hAnsi="宋体" w:eastAsia="宋体" w:cs="宋体"/>
        </w:rPr>
        <w:t xml:space="preserve"> 投资者教育的内容：</w:t>
      </w:r>
    </w:p>
    <w:p>
      <w:pPr>
        <w:rPr>
          <w:rFonts w:hint="eastAsia" w:ascii="宋体" w:hAnsi="宋体" w:eastAsia="宋体" w:cs="宋体"/>
        </w:rPr>
      </w:pPr>
      <w:r>
        <w:rPr>
          <w:rFonts w:hint="eastAsia" w:ascii="宋体" w:hAnsi="宋体" w:eastAsia="宋体" w:cs="宋体"/>
        </w:rPr>
        <w:t>（1）投资决策教育</w:t>
      </w:r>
    </w:p>
    <w:p>
      <w:pPr>
        <w:rPr>
          <w:rFonts w:hint="eastAsia" w:ascii="宋体" w:hAnsi="宋体" w:eastAsia="宋体" w:cs="宋体"/>
        </w:rPr>
      </w:pPr>
      <w:r>
        <w:rPr>
          <w:rFonts w:hint="eastAsia" w:ascii="宋体" w:hAnsi="宋体" w:eastAsia="宋体" w:cs="宋体"/>
        </w:rPr>
        <w:t>①投资决策就是对投资产品和服务做出选择的行为或过程，它是整个投资者教育体系的基础。</w:t>
      </w:r>
    </w:p>
    <w:p>
      <w:pPr>
        <w:rPr>
          <w:rFonts w:hint="eastAsia" w:ascii="宋体" w:hAnsi="宋体" w:eastAsia="宋体" w:cs="宋体"/>
        </w:rPr>
      </w:pPr>
      <w:r>
        <w:rPr>
          <w:rFonts w:hint="eastAsia" w:ascii="宋体" w:hAnsi="宋体" w:eastAsia="宋体" w:cs="宋体"/>
        </w:rPr>
        <w:t>②投资者的投资决策受到多种因素的影响，大致可分为两类，一是个人背景，二是社会环境。个人背景包括投资者本人的受教育程度、投资知识、年龄、社会阶层、个人资产、心理承受能力、性格、法律意识、价值取向及生活目标等。社会环境因素包括政治、经济、社会制度、伦理道德、科技发展等。</w:t>
      </w:r>
    </w:p>
    <w:p>
      <w:pPr>
        <w:rPr>
          <w:rFonts w:hint="eastAsia" w:ascii="宋体" w:hAnsi="宋体" w:eastAsia="宋体" w:cs="宋体"/>
        </w:rPr>
      </w:pPr>
      <w:r>
        <w:rPr>
          <w:rFonts w:hint="eastAsia" w:ascii="宋体" w:hAnsi="宋体" w:eastAsia="宋体" w:cs="宋体"/>
        </w:rPr>
        <w:t>③投资决策教育就是要在指导投资者分析投资问题、获得必要信息、进行理性选择的同时，致力于改善投资者决策条件中的某些变量。目前，各国投资者教育机构在制定投资者教育策略时，都首先致力于普及证券市场知识和宣传证券市场法规。</w:t>
      </w:r>
    </w:p>
    <w:p>
      <w:pPr>
        <w:rPr>
          <w:rFonts w:hint="eastAsia" w:ascii="宋体" w:hAnsi="宋体" w:eastAsia="宋体" w:cs="宋体"/>
        </w:rPr>
      </w:pPr>
      <w:r>
        <w:rPr>
          <w:rFonts w:hint="eastAsia" w:ascii="宋体" w:hAnsi="宋体" w:eastAsia="宋体" w:cs="宋体"/>
        </w:rPr>
        <w:t>（2）资产配置教育</w:t>
      </w:r>
    </w:p>
    <w:p>
      <w:pPr>
        <w:rPr>
          <w:rFonts w:hint="eastAsia" w:ascii="宋体" w:hAnsi="宋体" w:eastAsia="宋体" w:cs="宋体"/>
        </w:rPr>
      </w:pPr>
      <w:r>
        <w:rPr>
          <w:rFonts w:hint="eastAsia" w:ascii="宋体" w:hAnsi="宋体" w:eastAsia="宋体" w:cs="宋体"/>
        </w:rPr>
        <w:t>①资产配置教育即指导投资者对个人资产进行科学的计划和控制。投资者的个人财务计划会对其投资决策和策略产生重大影响。</w:t>
      </w:r>
    </w:p>
    <w:p>
      <w:pPr>
        <w:rPr>
          <w:rFonts w:hint="eastAsia" w:ascii="宋体" w:hAnsi="宋体" w:eastAsia="宋体" w:cs="宋体"/>
        </w:rPr>
      </w:pPr>
      <w:r>
        <w:rPr>
          <w:rFonts w:hint="eastAsia" w:ascii="宋体" w:hAnsi="宋体" w:eastAsia="宋体" w:cs="宋体"/>
        </w:rPr>
        <w:t>②许多投资者教育专家都认为投资者教育的范围应超越投资者具体的投资行为，深入整个个人资产配置中，只有这样才能从根本上解决投资者的困惑。</w:t>
      </w:r>
    </w:p>
    <w:p>
      <w:pPr>
        <w:rPr>
          <w:rFonts w:hint="eastAsia" w:ascii="宋体" w:hAnsi="宋体" w:eastAsia="宋体" w:cs="宋体"/>
        </w:rPr>
      </w:pPr>
      <w:r>
        <w:rPr>
          <w:rFonts w:hint="eastAsia" w:ascii="宋体" w:hAnsi="宋体" w:eastAsia="宋体" w:cs="宋体"/>
        </w:rPr>
        <w:t>（3）权益保护教育</w:t>
      </w:r>
    </w:p>
    <w:p>
      <w:pPr>
        <w:rPr>
          <w:rFonts w:hint="eastAsia" w:ascii="宋体" w:hAnsi="宋体" w:eastAsia="宋体" w:cs="宋体"/>
        </w:rPr>
      </w:pPr>
      <w:r>
        <w:rPr>
          <w:rFonts w:hint="eastAsia" w:ascii="宋体" w:hAnsi="宋体" w:eastAsia="宋体" w:cs="宋体"/>
        </w:rPr>
        <w:t>①权益保护教育即号召投资者为改变其投资决策的社会和市场环境进行主动参与与保护自身权益。这不仅是市场化的要求，也是公平原则在投资者教育领域中的体现。</w:t>
      </w:r>
    </w:p>
    <w:p>
      <w:pPr>
        <w:rPr>
          <w:rFonts w:hint="eastAsia" w:ascii="宋体" w:hAnsi="宋体" w:eastAsia="宋体" w:cs="宋体"/>
        </w:rPr>
      </w:pPr>
      <w:r>
        <w:rPr>
          <w:rFonts w:hint="eastAsia" w:ascii="宋体" w:hAnsi="宋体" w:eastAsia="宋体" w:cs="宋体"/>
        </w:rPr>
        <w:t>②投资者权益保护是营造一个公正的政治、经济、法律环境，在此环境下，每个投资者在受到欺诈或不公平待遇时都能得到充分的法律救助。此外，投资者的声音能够上达立法者和相关的管理部门，参与立法、执法和司法过程，创造一个真正对投资者友善、公平的资本市场制度体系。</w:t>
      </w:r>
    </w:p>
    <w:p>
      <w:pPr>
        <w:rPr>
          <w:rFonts w:hint="eastAsia" w:ascii="宋体" w:hAnsi="宋体" w:eastAsia="宋体" w:cs="宋体"/>
        </w:rPr>
      </w:pPr>
      <w:r>
        <w:rPr>
          <w:rFonts w:hint="eastAsia" w:ascii="宋体" w:hAnsi="宋体" w:eastAsia="宋体" w:cs="宋体"/>
        </w:rPr>
        <w:t>③为此，针对投资者进行的风险教育、风险提示以及为投资者维权提供的有关服务，已经成为各国开展投资者教育的重要内容。</w:t>
      </w:r>
    </w:p>
    <w:p>
      <w:pPr>
        <w:rPr>
          <w:rFonts w:hint="eastAsia" w:ascii="宋体" w:hAnsi="宋体" w:eastAsia="宋体" w:cs="宋体"/>
        </w:rPr>
      </w:pPr>
    </w:p>
    <w:p>
      <w:pPr>
        <w:jc w:val="center"/>
        <w:rPr>
          <w:rFonts w:hint="eastAsia" w:ascii="宋体" w:hAnsi="宋体" w:eastAsia="宋体" w:cs="宋体"/>
          <w:b/>
          <w:bCs/>
          <w:sz w:val="24"/>
          <w:szCs w:val="24"/>
        </w:rPr>
      </w:pPr>
      <w:r>
        <w:rPr>
          <w:rFonts w:hint="eastAsia" w:ascii="宋体" w:hAnsi="宋体" w:eastAsia="宋体" w:cs="宋体"/>
          <w:b/>
          <w:bCs/>
          <w:sz w:val="24"/>
          <w:szCs w:val="24"/>
        </w:rPr>
        <w:t>第十一章</w:t>
      </w:r>
      <w:r>
        <w:rPr>
          <w:rFonts w:hint="eastAsia" w:ascii="宋体" w:hAnsi="宋体" w:eastAsia="宋体" w:cs="宋体"/>
          <w:b/>
          <w:bCs/>
          <w:sz w:val="24"/>
          <w:szCs w:val="24"/>
        </w:rPr>
        <w:t xml:space="preserve"> </w:t>
      </w:r>
      <w:r>
        <w:rPr>
          <w:rFonts w:hint="eastAsia" w:ascii="宋体" w:hAnsi="宋体" w:eastAsia="宋体" w:cs="宋体"/>
          <w:b/>
          <w:bCs/>
          <w:sz w:val="24"/>
          <w:szCs w:val="24"/>
        </w:rPr>
        <w:t>基金管理人公司治理和风险管理</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考点一</w:t>
      </w:r>
      <w:r>
        <w:rPr>
          <w:rFonts w:hint="eastAsia" w:ascii="宋体" w:hAnsi="宋体" w:eastAsia="宋体" w:cs="宋体"/>
        </w:rPr>
        <w:t xml:space="preserve"> 股东会</w:t>
      </w:r>
    </w:p>
    <w:p>
      <w:pPr>
        <w:rPr>
          <w:rFonts w:hint="eastAsia" w:ascii="宋体" w:hAnsi="宋体" w:eastAsia="宋体" w:cs="宋体"/>
        </w:rPr>
      </w:pPr>
      <w:r>
        <w:rPr>
          <w:rFonts w:hint="eastAsia" w:ascii="宋体" w:hAnsi="宋体" w:eastAsia="宋体" w:cs="宋体"/>
        </w:rPr>
        <w:t>股东会由公司全体股东组成，为公司的最高权力机构。</w:t>
      </w:r>
    </w:p>
    <w:p>
      <w:pPr>
        <w:rPr>
          <w:rFonts w:hint="eastAsia" w:ascii="宋体" w:hAnsi="宋体" w:eastAsia="宋体" w:cs="宋体"/>
        </w:rPr>
      </w:pPr>
      <w:r>
        <w:rPr>
          <w:rFonts w:hint="eastAsia" w:ascii="宋体" w:hAnsi="宋体" w:eastAsia="宋体" w:cs="宋体"/>
        </w:rPr>
        <w:t>股东会可以授权董事会行使股东会的部分职权。一般来说，股东会依法可以行使的职权包括：</w:t>
      </w:r>
    </w:p>
    <w:p>
      <w:pPr>
        <w:rPr>
          <w:rFonts w:hint="eastAsia" w:ascii="宋体" w:hAnsi="宋体" w:eastAsia="宋体" w:cs="宋体"/>
        </w:rPr>
      </w:pPr>
      <w:r>
        <w:rPr>
          <w:rFonts w:hint="eastAsia" w:ascii="宋体" w:hAnsi="宋体" w:eastAsia="宋体" w:cs="宋体"/>
        </w:rPr>
        <w:t>（1）决定公司的经营方针和投资计划。</w:t>
      </w:r>
    </w:p>
    <w:p>
      <w:pPr>
        <w:rPr>
          <w:rFonts w:hint="eastAsia" w:ascii="宋体" w:hAnsi="宋体" w:eastAsia="宋体" w:cs="宋体"/>
        </w:rPr>
      </w:pPr>
      <w:r>
        <w:rPr>
          <w:rFonts w:hint="eastAsia" w:ascii="宋体" w:hAnsi="宋体" w:eastAsia="宋体" w:cs="宋体"/>
        </w:rPr>
        <w:t>（2）选举和更换董事，批准董事的报酬事项；选举和更换由股东代表出任的监事，批准监事的报酬事项。</w:t>
      </w:r>
    </w:p>
    <w:p>
      <w:pPr>
        <w:rPr>
          <w:rFonts w:hint="eastAsia" w:ascii="宋体" w:hAnsi="宋体" w:eastAsia="宋体" w:cs="宋体"/>
        </w:rPr>
      </w:pPr>
      <w:r>
        <w:rPr>
          <w:rFonts w:hint="eastAsia" w:ascii="宋体" w:hAnsi="宋体" w:eastAsia="宋体" w:cs="宋体"/>
        </w:rPr>
        <w:t>（3）审议批准公司的年度财务预算方案和经审计的决算方案，审议批准公司的利润分配方案和弥补亏损方案。</w:t>
      </w:r>
    </w:p>
    <w:p>
      <w:pPr>
        <w:rPr>
          <w:rFonts w:hint="eastAsia" w:ascii="宋体" w:hAnsi="宋体" w:eastAsia="宋体" w:cs="宋体"/>
        </w:rPr>
      </w:pPr>
      <w:r>
        <w:rPr>
          <w:rFonts w:hint="eastAsia" w:ascii="宋体" w:hAnsi="宋体" w:eastAsia="宋体" w:cs="宋体"/>
        </w:rPr>
        <w:t>（4）对公司增加或者减少注册资本或注册资本的任何变更以及任何可以转换为股权的证券的发行作出决议；对股东转让股权作出决议；批准成立、收购或处置公 司在中国境内外的任何子公司；对公司合并、分立，变更公司形式，解散和清算作 出决议。</w:t>
      </w:r>
    </w:p>
    <w:p>
      <w:pPr>
        <w:rPr>
          <w:rFonts w:hint="eastAsia" w:ascii="宋体" w:hAnsi="宋体" w:eastAsia="宋体" w:cs="宋体"/>
        </w:rPr>
      </w:pPr>
      <w:r>
        <w:rPr>
          <w:rFonts w:hint="eastAsia" w:ascii="宋体" w:hAnsi="宋体" w:eastAsia="宋体" w:cs="宋体"/>
        </w:rPr>
        <w:t>（5）修改公司章程，批准对公司经营范围的任何修改。</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 xml:space="preserve">考点二 </w:t>
      </w:r>
      <w:r>
        <w:rPr>
          <w:rFonts w:hint="eastAsia" w:ascii="宋体" w:hAnsi="宋体" w:eastAsia="宋体" w:cs="宋体"/>
        </w:rPr>
        <w:t>董事和董事会</w:t>
      </w:r>
    </w:p>
    <w:p>
      <w:pPr>
        <w:rPr>
          <w:rFonts w:hint="eastAsia" w:ascii="宋体" w:hAnsi="宋体" w:eastAsia="宋体" w:cs="宋体"/>
        </w:rPr>
      </w:pPr>
      <w:r>
        <w:rPr>
          <w:rFonts w:hint="eastAsia" w:ascii="宋体" w:hAnsi="宋体" w:eastAsia="宋体" w:cs="宋体"/>
        </w:rPr>
        <w:t>（1）董事会是对股东负责的决策机构，其成员由股东会决定。董事会负责执行股东会决议，向股东会报告工作。</w:t>
      </w:r>
    </w:p>
    <w:p>
      <w:pPr>
        <w:rPr>
          <w:rFonts w:hint="eastAsia" w:ascii="宋体" w:hAnsi="宋体" w:eastAsia="宋体" w:cs="宋体"/>
        </w:rPr>
      </w:pPr>
      <w:r>
        <w:rPr>
          <w:rFonts w:hint="eastAsia" w:ascii="宋体" w:hAnsi="宋体" w:eastAsia="宋体" w:cs="宋体"/>
        </w:rPr>
        <w:t>（2）目前基金公司的产品都为契约型，相关法律法规在基金公司治理结构上建立了 独立董事制度，要求独立董事独立履行职责，以基金份额持有人利益和其他资产委托人的利益最大化为出发点，对基金财产运作等事项独立做出客观、公正的专业判 断，不得服从于某一股东、董事和他人的意志。</w:t>
      </w:r>
    </w:p>
    <w:p>
      <w:pPr>
        <w:rPr>
          <w:rFonts w:hint="eastAsia" w:ascii="宋体" w:hAnsi="宋体" w:eastAsia="宋体" w:cs="宋体"/>
        </w:rPr>
      </w:pPr>
      <w:r>
        <w:rPr>
          <w:rFonts w:hint="eastAsia" w:ascii="宋体" w:hAnsi="宋体" w:eastAsia="宋体" w:cs="宋体"/>
        </w:rPr>
        <w:t>（3）独立董事制度有两方面重要内容: 一是规定独立董事的人数及在董事会的人数比例，二是在议事规则、表决机制的安 排上合理发挥独立董事的作用。</w:t>
      </w:r>
    </w:p>
    <w:p>
      <w:pPr>
        <w:rPr>
          <w:rFonts w:hint="eastAsia" w:ascii="宋体" w:hAnsi="宋体" w:eastAsia="宋体" w:cs="宋体"/>
        </w:rPr>
      </w:pPr>
      <w:r>
        <w:rPr>
          <w:rFonts w:hint="eastAsia" w:ascii="宋体" w:hAnsi="宋体" w:eastAsia="宋体" w:cs="宋体"/>
        </w:rPr>
        <w:t>（4）根据相关法律法规，独立董事人数不得少于3人，且不得少于董事会人数的 1/3。董事会审议下列事项，应当经过2/3以上的独立董事通过：</w:t>
      </w:r>
    </w:p>
    <w:p>
      <w:pPr>
        <w:rPr>
          <w:rFonts w:hint="eastAsia" w:ascii="宋体" w:hAnsi="宋体" w:eastAsia="宋体" w:cs="宋体"/>
          <w:color w:val="003399"/>
        </w:rPr>
      </w:pPr>
      <w:r>
        <w:rPr>
          <w:rFonts w:hint="eastAsia" w:ascii="宋体" w:hAnsi="宋体" w:eastAsia="宋体" w:cs="宋体"/>
        </w:rPr>
        <w:t>①公司及基金投资运作中的重大关联交易；②公司和基金审计事务，聘请或者更换会计师事务所；③公司管理的基金的半年度报告和年度报告；④法律、行政法规和公司章程规定 的其他事项。</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考点三</w:t>
      </w:r>
      <w:r>
        <w:rPr>
          <w:rFonts w:hint="eastAsia" w:ascii="宋体" w:hAnsi="宋体" w:eastAsia="宋体" w:cs="宋体"/>
        </w:rPr>
        <w:t xml:space="preserve"> 场内证券结算的方式</w:t>
      </w:r>
    </w:p>
    <w:p>
      <w:pPr>
        <w:rPr>
          <w:rFonts w:hint="eastAsia" w:ascii="宋体" w:hAnsi="宋体" w:eastAsia="宋体" w:cs="宋体"/>
          <w:color w:val="003399"/>
        </w:rPr>
      </w:pPr>
      <w:r>
        <w:rPr>
          <w:rFonts w:hint="eastAsia" w:ascii="宋体" w:hAnsi="宋体" w:eastAsia="宋体" w:cs="宋体"/>
          <w:color w:val="003399"/>
        </w:rPr>
        <w:t>（一）净额结算方式</w:t>
      </w:r>
    </w:p>
    <w:p>
      <w:pPr>
        <w:rPr>
          <w:rFonts w:hint="eastAsia" w:ascii="宋体" w:hAnsi="宋体" w:eastAsia="宋体" w:cs="宋体"/>
        </w:rPr>
      </w:pPr>
      <w:r>
        <w:rPr>
          <w:rFonts w:hint="eastAsia" w:ascii="宋体" w:hAnsi="宋体" w:eastAsia="宋体" w:cs="宋体"/>
        </w:rPr>
        <w:t>担保交收中，中国结算采取净额结算的方式，净额结算又称差额清算，是指在一个清算期中，对每个结算参与人价款的清算只计其各笔应收、应付款项相抵后的净额，对证券的清算只计每一种证券应收、应付相抵后的净额。净额结算又分为双边净额结算和多边净额结算。</w:t>
      </w:r>
    </w:p>
    <w:p>
      <w:pPr>
        <w:rPr>
          <w:rFonts w:hint="eastAsia" w:ascii="宋体" w:hAnsi="宋体" w:eastAsia="宋体" w:cs="宋体"/>
          <w:color w:val="003399"/>
        </w:rPr>
      </w:pPr>
      <w:r>
        <w:rPr>
          <w:rFonts w:hint="eastAsia" w:ascii="宋体" w:hAnsi="宋体" w:eastAsia="宋体" w:cs="宋体"/>
          <w:color w:val="003399"/>
        </w:rPr>
        <w:t>（二）全额结算方式</w:t>
      </w:r>
    </w:p>
    <w:p>
      <w:pPr>
        <w:rPr>
          <w:rFonts w:hint="eastAsia" w:ascii="宋体" w:hAnsi="宋体" w:eastAsia="宋体" w:cs="宋体"/>
        </w:rPr>
      </w:pPr>
      <w:r>
        <w:rPr>
          <w:rFonts w:hint="eastAsia" w:ascii="宋体" w:hAnsi="宋体" w:eastAsia="宋体" w:cs="宋体"/>
        </w:rPr>
        <w:t>逐笔全额结算是指证券登记结算机构对每笔证券交易均独立结算，同一结算参与人应收资金（证券）和应付资金（证券）不轧差处理。</w:t>
      </w:r>
    </w:p>
    <w:p>
      <w:pPr>
        <w:rPr>
          <w:rFonts w:hint="eastAsia" w:ascii="宋体" w:hAnsi="宋体" w:eastAsia="宋体" w:cs="宋体"/>
        </w:rPr>
      </w:pPr>
      <w:r>
        <w:rPr>
          <w:rFonts w:hint="eastAsia" w:ascii="宋体" w:hAnsi="宋体" w:eastAsia="宋体" w:cs="宋体"/>
        </w:rPr>
        <w:t>逐笔全额结算的主要特点是：</w:t>
      </w:r>
    </w:p>
    <w:p>
      <w:pPr>
        <w:rPr>
          <w:rFonts w:hint="eastAsia" w:ascii="宋体" w:hAnsi="宋体" w:eastAsia="宋体" w:cs="宋体"/>
        </w:rPr>
      </w:pPr>
      <w:r>
        <w:rPr>
          <w:rFonts w:hint="eastAsia" w:ascii="宋体" w:hAnsi="宋体" w:eastAsia="宋体" w:cs="宋体"/>
        </w:rPr>
        <w:t>（1）资金（证券）的足额以单笔交易为最小单位，资金（证券）足额则全部交收，不足则全不交收，</w:t>
      </w:r>
      <w:r>
        <w:rPr>
          <w:rFonts w:hint="eastAsia" w:ascii="宋体" w:hAnsi="宋体" w:eastAsia="宋体" w:cs="宋体"/>
          <w:color w:val="003399"/>
        </w:rPr>
        <w:t>不分拆交收。</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color w:val="003399"/>
        </w:rPr>
        <w:t>交收期灵活，</w:t>
      </w:r>
      <w:r>
        <w:rPr>
          <w:rFonts w:hint="eastAsia" w:ascii="宋体" w:hAnsi="宋体" w:eastAsia="宋体" w:cs="宋体"/>
        </w:rPr>
        <w:t>从实时逐笔全额（RTGS）到交收期为</w:t>
      </w:r>
      <w:r>
        <w:rPr>
          <w:rFonts w:hint="eastAsia" w:ascii="宋体" w:hAnsi="宋体" w:eastAsia="宋体" w:cs="宋体"/>
          <w:color w:val="003399"/>
        </w:rPr>
        <w:t>T+0～T+n</w:t>
      </w:r>
      <w:r>
        <w:rPr>
          <w:rFonts w:hint="eastAsia" w:ascii="宋体" w:hAnsi="宋体" w:eastAsia="宋体" w:cs="宋体"/>
        </w:rPr>
        <w:t>日不等。</w:t>
      </w:r>
    </w:p>
    <w:p>
      <w:pPr>
        <w:rPr>
          <w:rFonts w:hint="eastAsia" w:ascii="宋体" w:hAnsi="宋体" w:eastAsia="宋体" w:cs="宋体"/>
        </w:rPr>
      </w:pPr>
      <w:r>
        <w:rPr>
          <w:rFonts w:hint="eastAsia" w:ascii="宋体" w:hAnsi="宋体" w:eastAsia="宋体" w:cs="宋体"/>
        </w:rPr>
        <w:t>（3）</w:t>
      </w:r>
      <w:r>
        <w:rPr>
          <w:rFonts w:hint="eastAsia" w:ascii="宋体" w:hAnsi="宋体" w:eastAsia="宋体" w:cs="宋体"/>
          <w:color w:val="003399"/>
        </w:rPr>
        <w:t>交收方式多样，</w:t>
      </w:r>
      <w:r>
        <w:rPr>
          <w:rFonts w:hint="eastAsia" w:ascii="宋体" w:hAnsi="宋体" w:eastAsia="宋体" w:cs="宋体"/>
        </w:rPr>
        <w:t>结算参与人可以根据需要采用货银对付（DVP）、纯券过户等多种交收方式</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 xml:space="preserve">考点四 </w:t>
      </w:r>
      <w:r>
        <w:rPr>
          <w:rFonts w:hint="eastAsia" w:ascii="宋体" w:hAnsi="宋体" w:eastAsia="宋体" w:cs="宋体"/>
        </w:rPr>
        <w:t>督察长的职责包括：</w:t>
      </w:r>
    </w:p>
    <w:p>
      <w:pPr>
        <w:rPr>
          <w:rFonts w:hint="eastAsia" w:ascii="宋体" w:hAnsi="宋体" w:eastAsia="宋体" w:cs="宋体"/>
        </w:rPr>
      </w:pPr>
      <w:r>
        <w:rPr>
          <w:rFonts w:hint="eastAsia" w:ascii="宋体" w:hAnsi="宋体" w:eastAsia="宋体" w:cs="宋体"/>
        </w:rPr>
        <w:t>（1）组织拟定基金公司合规管理的基本制度和其他合规管理制度，并督导公司各部门及其下属机构实施。</w:t>
      </w:r>
    </w:p>
    <w:p>
      <w:pPr>
        <w:rPr>
          <w:rFonts w:hint="eastAsia" w:ascii="宋体" w:hAnsi="宋体" w:eastAsia="宋体" w:cs="宋体"/>
        </w:rPr>
      </w:pPr>
      <w:r>
        <w:rPr>
          <w:rFonts w:hint="eastAsia" w:ascii="宋体" w:hAnsi="宋体" w:eastAsia="宋体" w:cs="宋体"/>
        </w:rPr>
        <w:t>（2）对公司内部规章制度、重大决策、新产品和新业务方案进行合规审查，并 出具书面的合规审查意见。</w:t>
      </w:r>
    </w:p>
    <w:p>
      <w:pPr>
        <w:rPr>
          <w:rFonts w:hint="eastAsia" w:ascii="宋体" w:hAnsi="宋体" w:eastAsia="宋体" w:cs="宋体"/>
        </w:rPr>
      </w:pPr>
      <w:r>
        <w:rPr>
          <w:rFonts w:hint="eastAsia" w:ascii="宋体" w:hAnsi="宋体" w:eastAsia="宋体" w:cs="宋体"/>
        </w:rPr>
        <w:t>（3）对基金公司及其工作人员经营管理和执业行为的合规性进行监督检查。</w:t>
      </w:r>
    </w:p>
    <w:p>
      <w:pPr>
        <w:rPr>
          <w:rFonts w:hint="eastAsia" w:ascii="宋体" w:hAnsi="宋体" w:eastAsia="宋体" w:cs="宋体"/>
        </w:rPr>
      </w:pPr>
      <w:r>
        <w:rPr>
          <w:rFonts w:hint="eastAsia" w:ascii="宋体" w:hAnsi="宋体" w:eastAsia="宋体" w:cs="宋体"/>
        </w:rPr>
        <w:t>（4）向董事会、总经理等报告基金公司合法合规情况和合规管理工作的开展情 况。</w:t>
      </w:r>
    </w:p>
    <w:p>
      <w:pPr>
        <w:rPr>
          <w:rFonts w:hint="eastAsia" w:ascii="宋体" w:hAnsi="宋体" w:eastAsia="宋体" w:cs="宋体"/>
        </w:rPr>
      </w:pPr>
      <w:r>
        <w:rPr>
          <w:rFonts w:hint="eastAsia" w:ascii="宋体" w:hAnsi="宋体" w:eastAsia="宋体" w:cs="宋体"/>
        </w:rPr>
        <w:t>（5）及时处理监管部门和自律组织要求调查的事项，配合监管部门和自律组织 对公司的检查和调查，跟踪和评估监管意见和监管要求的落实情况。</w:t>
      </w:r>
    </w:p>
    <w:p>
      <w:pPr>
        <w:rPr>
          <w:rFonts w:hint="eastAsia" w:ascii="宋体" w:hAnsi="宋体" w:eastAsia="宋体" w:cs="宋体"/>
        </w:rPr>
      </w:pPr>
      <w:r>
        <w:rPr>
          <w:rFonts w:hint="eastAsia" w:ascii="宋体" w:hAnsi="宋体" w:eastAsia="宋体" w:cs="宋体"/>
        </w:rPr>
        <w:t>（6）保存履行职责的相关文件、资料、底稿，包括合规审查意见、合规咨询意见、签署的公司文件、合规检查工作底稿和履职记录等，以备审查。</w:t>
      </w:r>
    </w:p>
    <w:p>
      <w:pPr>
        <w:rPr>
          <w:rFonts w:hint="eastAsia" w:ascii="宋体" w:hAnsi="宋体" w:eastAsia="宋体" w:cs="宋体"/>
        </w:rPr>
      </w:pPr>
      <w:r>
        <w:rPr>
          <w:rFonts w:hint="eastAsia" w:ascii="宋体" w:hAnsi="宋体" w:eastAsia="宋体" w:cs="宋体"/>
        </w:rPr>
        <w:t>3.公司应保证督察长工作的独立性，不得安排或者要求督察长从事基金销售、投资等与其履行职责相冲突的职务和工作。</w:t>
      </w:r>
    </w:p>
    <w:p>
      <w:pPr>
        <w:rPr>
          <w:rFonts w:hint="eastAsia" w:ascii="宋体" w:hAnsi="宋体" w:eastAsia="宋体" w:cs="宋体"/>
        </w:rPr>
      </w:pPr>
      <w:r>
        <w:rPr>
          <w:rFonts w:hint="eastAsia" w:ascii="宋体" w:hAnsi="宋体" w:eastAsia="宋体" w:cs="宋体"/>
        </w:rPr>
        <w:t>4.董事会决定督察长的聘任、解聘和考核，决定其薪酬待遇。</w:t>
      </w:r>
    </w:p>
    <w:p>
      <w:pPr>
        <w:rPr>
          <w:rFonts w:hint="eastAsia" w:ascii="宋体" w:hAnsi="宋体" w:eastAsia="宋体" w:cs="宋体"/>
        </w:rPr>
      </w:pPr>
      <w:r>
        <w:rPr>
          <w:rFonts w:hint="eastAsia" w:ascii="宋体" w:hAnsi="宋体" w:eastAsia="宋体" w:cs="宋体"/>
          <w:color w:val="4472C4" w:themeColor="accent1"/>
          <w14:textFill>
            <w14:solidFill>
              <w14:schemeClr w14:val="accent1"/>
            </w14:solidFill>
          </w14:textFill>
        </w:rPr>
        <w:t>考点五</w:t>
      </w:r>
      <w:r>
        <w:rPr>
          <w:rFonts w:hint="eastAsia" w:ascii="宋体" w:hAnsi="宋体" w:eastAsia="宋体" w:cs="宋体"/>
        </w:rPr>
        <w:t xml:space="preserve"> 基金管理公司风险管理的组织架构和职能</w:t>
      </w:r>
    </w:p>
    <w:p>
      <w:pPr>
        <w:rPr>
          <w:rFonts w:hint="eastAsia" w:ascii="宋体" w:hAnsi="宋体" w:eastAsia="宋体" w:cs="宋体"/>
        </w:rPr>
      </w:pPr>
      <w:r>
        <w:rPr>
          <w:rFonts w:hint="eastAsia" w:ascii="宋体" w:hAnsi="宋体" w:eastAsia="宋体" w:cs="宋体"/>
        </w:rPr>
        <w:t>1.董事会对有效的风险管理承担最终责任。</w:t>
      </w:r>
    </w:p>
    <w:p>
      <w:pPr>
        <w:rPr>
          <w:rFonts w:hint="eastAsia" w:ascii="宋体" w:hAnsi="宋体" w:eastAsia="宋体" w:cs="宋体"/>
        </w:rPr>
      </w:pPr>
      <w:r>
        <w:rPr>
          <w:rFonts w:hint="eastAsia" w:ascii="宋体" w:hAnsi="宋体" w:eastAsia="宋体" w:cs="宋体"/>
        </w:rPr>
        <w:t>2.公司管理层对有效的风险管理承担直接责任。</w:t>
      </w:r>
    </w:p>
    <w:p>
      <w:pPr>
        <w:rPr>
          <w:rFonts w:hint="eastAsia" w:ascii="宋体" w:hAnsi="宋体" w:eastAsia="宋体" w:cs="宋体"/>
        </w:rPr>
      </w:pPr>
      <w:r>
        <w:rPr>
          <w:rFonts w:hint="eastAsia" w:ascii="宋体" w:hAnsi="宋体" w:eastAsia="宋体" w:cs="宋体"/>
        </w:rPr>
        <w:t>3.在风险管理责任的划分上，各业务部门负责人是其部门风险管理的第一责任 人，基金经理是相应投资组合风险管理的第一责任人。公司所有员工是本岗位风险管理的直接责任人，负责具体风险管理职责的实施。</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考点六</w:t>
      </w:r>
      <w:r>
        <w:rPr>
          <w:rFonts w:hint="eastAsia" w:ascii="宋体" w:hAnsi="宋体" w:eastAsia="宋体" w:cs="宋体"/>
        </w:rPr>
        <w:t xml:space="preserve"> 基金管理公司风险管理的风险分类</w:t>
      </w:r>
    </w:p>
    <w:p>
      <w:pPr>
        <w:rPr>
          <w:rFonts w:hint="eastAsia" w:ascii="宋体" w:hAnsi="宋体" w:eastAsia="宋体" w:cs="宋体"/>
        </w:rPr>
      </w:pPr>
      <w:r>
        <w:rPr>
          <w:rFonts w:hint="eastAsia" w:ascii="宋体" w:hAnsi="宋体" w:eastAsia="宋体" w:cs="宋体"/>
        </w:rPr>
        <w:t>1.投资风险</w:t>
      </w:r>
    </w:p>
    <w:p>
      <w:pPr>
        <w:rPr>
          <w:rFonts w:hint="eastAsia" w:ascii="宋体" w:hAnsi="宋体" w:eastAsia="宋体" w:cs="宋体"/>
        </w:rPr>
      </w:pPr>
      <w:r>
        <w:rPr>
          <w:rFonts w:hint="eastAsia" w:ascii="宋体" w:hAnsi="宋体" w:eastAsia="宋体" w:cs="宋体"/>
        </w:rPr>
        <w:t>投资风险是公司投资管理投资组合过程中所产生的，主要包括市场风险、流动性风险和信用风险，主要责任人是投资部门。</w:t>
      </w:r>
    </w:p>
    <w:p>
      <w:pPr>
        <w:rPr>
          <w:rFonts w:hint="eastAsia" w:ascii="宋体" w:hAnsi="宋体" w:eastAsia="宋体" w:cs="宋体"/>
        </w:rPr>
      </w:pPr>
      <w:r>
        <w:rPr>
          <w:rFonts w:hint="eastAsia" w:ascii="宋体" w:hAnsi="宋体" w:eastAsia="宋体" w:cs="宋体"/>
        </w:rPr>
        <w:t>2.操作风险</w:t>
      </w:r>
    </w:p>
    <w:p>
      <w:pPr>
        <w:rPr>
          <w:rFonts w:hint="eastAsia" w:ascii="宋体" w:hAnsi="宋体" w:eastAsia="宋体" w:cs="宋体"/>
        </w:rPr>
      </w:pPr>
      <w:r>
        <w:rPr>
          <w:rFonts w:hint="eastAsia" w:ascii="宋体" w:hAnsi="宋体" w:eastAsia="宋体" w:cs="宋体"/>
        </w:rPr>
        <w:t>操作风险是全公司所有部门要应对的，它是指由于内部程序、人员和系统的不完备或失效，或外部事件而导致的直接或间接损失的风险，主要包括制度和流程风险、信息技术风险、业务持续风险、人力资源风险、新业务风险和道德风险。</w:t>
      </w:r>
    </w:p>
    <w:p>
      <w:pPr>
        <w:rPr>
          <w:rFonts w:hint="eastAsia" w:ascii="宋体" w:hAnsi="宋体" w:eastAsia="宋体" w:cs="宋体"/>
        </w:rPr>
      </w:pPr>
      <w:r>
        <w:rPr>
          <w:rFonts w:hint="eastAsia" w:ascii="宋体" w:hAnsi="宋体" w:eastAsia="宋体" w:cs="宋体"/>
        </w:rPr>
        <w:t>3.业务持续风险</w:t>
      </w:r>
    </w:p>
    <w:p>
      <w:pPr>
        <w:rPr>
          <w:rFonts w:hint="eastAsia" w:ascii="宋体" w:hAnsi="宋体" w:eastAsia="宋体" w:cs="宋体"/>
        </w:rPr>
      </w:pPr>
      <w:r>
        <w:rPr>
          <w:rFonts w:hint="eastAsia" w:ascii="宋体" w:hAnsi="宋体" w:eastAsia="宋体" w:cs="宋体"/>
        </w:rPr>
        <w:t>业务持续风险是指由于公司危机处理机制、备份机制准备不足，导致危机发生时公司不能持续运作的风险。</w:t>
      </w:r>
    </w:p>
    <w:p>
      <w:pPr>
        <w:rPr>
          <w:rFonts w:hint="eastAsia" w:ascii="宋体" w:hAnsi="宋体" w:eastAsia="宋体" w:cs="宋体"/>
        </w:rPr>
      </w:pPr>
    </w:p>
    <w:p>
      <w:pPr>
        <w:jc w:val="center"/>
        <w:rPr>
          <w:rFonts w:hint="eastAsia" w:ascii="宋体" w:hAnsi="宋体" w:eastAsia="宋体" w:cs="宋体"/>
          <w:b/>
          <w:bCs/>
          <w:sz w:val="24"/>
          <w:szCs w:val="24"/>
        </w:rPr>
      </w:pPr>
      <w:r>
        <w:rPr>
          <w:rFonts w:hint="eastAsia" w:ascii="宋体" w:hAnsi="宋体" w:eastAsia="宋体" w:cs="宋体"/>
          <w:b/>
          <w:bCs/>
          <w:sz w:val="24"/>
          <w:szCs w:val="24"/>
        </w:rPr>
        <w:t>第十二章</w:t>
      </w:r>
      <w:r>
        <w:rPr>
          <w:rFonts w:hint="eastAsia" w:ascii="宋体" w:hAnsi="宋体" w:eastAsia="宋体" w:cs="宋体"/>
          <w:b/>
          <w:bCs/>
          <w:sz w:val="24"/>
          <w:szCs w:val="24"/>
        </w:rPr>
        <w:t xml:space="preserve"> </w:t>
      </w:r>
      <w:r>
        <w:rPr>
          <w:rFonts w:hint="eastAsia" w:ascii="宋体" w:hAnsi="宋体" w:eastAsia="宋体" w:cs="宋体"/>
          <w:b/>
          <w:bCs/>
          <w:sz w:val="24"/>
          <w:szCs w:val="24"/>
        </w:rPr>
        <w:t>基金管理人的内部控制</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考点一</w:t>
      </w:r>
      <w:r>
        <w:rPr>
          <w:rFonts w:hint="eastAsia" w:ascii="宋体" w:hAnsi="宋体" w:eastAsia="宋体" w:cs="宋体"/>
        </w:rPr>
        <w:t xml:space="preserve"> 基金管理人的内部控制要求：</w:t>
      </w:r>
    </w:p>
    <w:p>
      <w:pPr>
        <w:rPr>
          <w:rFonts w:hint="eastAsia" w:ascii="宋体" w:hAnsi="宋体" w:eastAsia="宋体" w:cs="宋体"/>
        </w:rPr>
      </w:pPr>
      <w:r>
        <w:rPr>
          <w:rFonts w:hint="eastAsia" w:ascii="宋体" w:hAnsi="宋体" w:eastAsia="宋体" w:cs="宋体"/>
        </w:rPr>
        <w:t>（1）部门设置体现权责明确、相互制约的原则；</w:t>
      </w:r>
    </w:p>
    <w:p>
      <w:pPr>
        <w:rPr>
          <w:rFonts w:hint="eastAsia" w:ascii="宋体" w:hAnsi="宋体" w:eastAsia="宋体" w:cs="宋体"/>
        </w:rPr>
      </w:pPr>
      <w:r>
        <w:rPr>
          <w:rFonts w:hint="eastAsia" w:ascii="宋体" w:hAnsi="宋体" w:eastAsia="宋体" w:cs="宋体"/>
        </w:rPr>
        <w:t>（2）严格授权控制；</w:t>
      </w:r>
    </w:p>
    <w:p>
      <w:pPr>
        <w:rPr>
          <w:rFonts w:hint="eastAsia" w:ascii="宋体" w:hAnsi="宋体" w:eastAsia="宋体" w:cs="宋体"/>
        </w:rPr>
      </w:pPr>
      <w:r>
        <w:rPr>
          <w:rFonts w:hint="eastAsia" w:ascii="宋体" w:hAnsi="宋体" w:eastAsia="宋体" w:cs="宋体"/>
        </w:rPr>
        <w:t>（3）强化内部监督稽核控制；</w:t>
      </w:r>
    </w:p>
    <w:p>
      <w:pPr>
        <w:rPr>
          <w:rFonts w:hint="eastAsia" w:ascii="宋体" w:hAnsi="宋体" w:eastAsia="宋体" w:cs="宋体"/>
        </w:rPr>
      </w:pPr>
      <w:r>
        <w:rPr>
          <w:rFonts w:hint="eastAsia" w:ascii="宋体" w:hAnsi="宋体" w:eastAsia="宋体" w:cs="宋体"/>
        </w:rPr>
        <w:t>（4）建立完善的岗位责任制度和科学、严格的岗位分离制度；</w:t>
      </w:r>
    </w:p>
    <w:p>
      <w:pPr>
        <w:rPr>
          <w:rFonts w:hint="eastAsia" w:ascii="宋体" w:hAnsi="宋体" w:eastAsia="宋体" w:cs="宋体"/>
        </w:rPr>
      </w:pPr>
      <w:r>
        <w:rPr>
          <w:rFonts w:hint="eastAsia" w:ascii="宋体" w:hAnsi="宋体" w:eastAsia="宋体" w:cs="宋体"/>
        </w:rPr>
        <w:t>（5）严格控制基金财产的财务风险；</w:t>
      </w:r>
    </w:p>
    <w:p>
      <w:pPr>
        <w:rPr>
          <w:rFonts w:hint="eastAsia" w:ascii="宋体" w:hAnsi="宋体" w:eastAsia="宋体" w:cs="宋体"/>
        </w:rPr>
      </w:pPr>
      <w:r>
        <w:rPr>
          <w:rFonts w:hint="eastAsia" w:ascii="宋体" w:hAnsi="宋体" w:eastAsia="宋体" w:cs="宋体"/>
        </w:rPr>
        <w:t>（6）建立完善的信息披露制度；</w:t>
      </w:r>
    </w:p>
    <w:p>
      <w:pPr>
        <w:rPr>
          <w:rFonts w:hint="eastAsia" w:ascii="宋体" w:hAnsi="宋体" w:eastAsia="宋体" w:cs="宋体"/>
        </w:rPr>
      </w:pPr>
      <w:r>
        <w:rPr>
          <w:rFonts w:hint="eastAsia" w:ascii="宋体" w:hAnsi="宋体" w:eastAsia="宋体" w:cs="宋体"/>
        </w:rPr>
        <w:t>（8）建立严格的信息技术系统管理制度；</w:t>
      </w:r>
    </w:p>
    <w:p>
      <w:pPr>
        <w:rPr>
          <w:rFonts w:hint="eastAsia" w:ascii="宋体" w:hAnsi="宋体" w:eastAsia="宋体" w:cs="宋体"/>
          <w:color w:val="003399"/>
        </w:rPr>
      </w:pPr>
      <w:r>
        <w:rPr>
          <w:rFonts w:hint="eastAsia" w:ascii="宋体" w:hAnsi="宋体" w:eastAsia="宋体" w:cs="宋体"/>
        </w:rPr>
        <w:t>（9）建立科学严密的风险管理系统。</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考点二</w:t>
      </w:r>
      <w:r>
        <w:rPr>
          <w:rFonts w:hint="eastAsia" w:ascii="宋体" w:hAnsi="宋体" w:eastAsia="宋体" w:cs="宋体"/>
        </w:rPr>
        <w:t xml:space="preserve"> 基金公司内部控制机制的四个层次</w:t>
      </w:r>
    </w:p>
    <w:p>
      <w:pPr>
        <w:rPr>
          <w:rFonts w:hint="eastAsia" w:ascii="宋体" w:hAnsi="宋体" w:eastAsia="宋体" w:cs="宋体"/>
        </w:rPr>
      </w:pPr>
      <w:r>
        <w:rPr>
          <w:rFonts w:hint="eastAsia" w:ascii="宋体" w:hAnsi="宋体" w:eastAsia="宋体" w:cs="宋体"/>
        </w:rPr>
        <w:t>基金管理人内部控制机制一般包括四个层次：</w:t>
      </w:r>
    </w:p>
    <w:p>
      <w:pPr>
        <w:rPr>
          <w:rFonts w:hint="eastAsia" w:ascii="宋体" w:hAnsi="宋体" w:eastAsia="宋体" w:cs="宋体"/>
        </w:rPr>
      </w:pPr>
      <w:r>
        <w:rPr>
          <w:rFonts w:hint="eastAsia" w:ascii="宋体" w:hAnsi="宋体" w:eastAsia="宋体" w:cs="宋体"/>
        </w:rPr>
        <w:t>（1）员工自律；</w:t>
      </w:r>
    </w:p>
    <w:p>
      <w:pPr>
        <w:rPr>
          <w:rFonts w:hint="eastAsia" w:ascii="宋体" w:hAnsi="宋体" w:eastAsia="宋体" w:cs="宋体"/>
        </w:rPr>
      </w:pPr>
      <w:r>
        <w:rPr>
          <w:rFonts w:hint="eastAsia" w:ascii="宋体" w:hAnsi="宋体" w:eastAsia="宋体" w:cs="宋体"/>
        </w:rPr>
        <w:t>（2）各部门主管的检查监督；</w:t>
      </w:r>
    </w:p>
    <w:p>
      <w:pPr>
        <w:rPr>
          <w:rFonts w:hint="eastAsia" w:ascii="宋体" w:hAnsi="宋体" w:eastAsia="宋体" w:cs="宋体"/>
        </w:rPr>
      </w:pPr>
      <w:r>
        <w:rPr>
          <w:rFonts w:hint="eastAsia" w:ascii="宋体" w:hAnsi="宋体" w:eastAsia="宋体" w:cs="宋体"/>
        </w:rPr>
        <w:t>（3）公司总经理及其领导的监察稽核部对各部门和各项业务的监督控制；</w:t>
      </w:r>
    </w:p>
    <w:p>
      <w:pPr>
        <w:rPr>
          <w:rFonts w:hint="eastAsia" w:ascii="宋体" w:hAnsi="宋体" w:eastAsia="宋体" w:cs="宋体"/>
        </w:rPr>
      </w:pPr>
      <w:r>
        <w:rPr>
          <w:rFonts w:hint="eastAsia" w:ascii="宋体" w:hAnsi="宋体" w:eastAsia="宋体" w:cs="宋体"/>
        </w:rPr>
        <w:t>（4）董事会领导下的审计委员会和督察长的检查、监督、控制和指导。</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考点三</w:t>
      </w:r>
      <w:r>
        <w:rPr>
          <w:rFonts w:hint="eastAsia" w:ascii="宋体" w:hAnsi="宋体" w:eastAsia="宋体" w:cs="宋体"/>
        </w:rPr>
        <w:t xml:space="preserve"> 基金公司内部控制的基本要素</w:t>
      </w:r>
    </w:p>
    <w:p>
      <w:pPr>
        <w:rPr>
          <w:rFonts w:hint="eastAsia" w:ascii="宋体" w:hAnsi="宋体" w:eastAsia="宋体" w:cs="宋体"/>
        </w:rPr>
      </w:pPr>
      <w:r>
        <w:rPr>
          <w:rFonts w:hint="eastAsia" w:ascii="宋体" w:hAnsi="宋体" w:eastAsia="宋体" w:cs="宋体"/>
        </w:rPr>
        <w:t>1.控制环境</w:t>
      </w:r>
    </w:p>
    <w:p>
      <w:pPr>
        <w:rPr>
          <w:rFonts w:hint="eastAsia" w:ascii="宋体" w:hAnsi="宋体" w:eastAsia="宋体" w:cs="宋体"/>
        </w:rPr>
      </w:pPr>
      <w:r>
        <w:rPr>
          <w:rFonts w:hint="eastAsia" w:ascii="宋体" w:hAnsi="宋体" w:eastAsia="宋体" w:cs="宋体"/>
        </w:rPr>
        <w:t>2.风险评估</w:t>
      </w:r>
    </w:p>
    <w:p>
      <w:pPr>
        <w:rPr>
          <w:rFonts w:hint="eastAsia" w:ascii="宋体" w:hAnsi="宋体" w:eastAsia="宋体" w:cs="宋体"/>
        </w:rPr>
      </w:pPr>
      <w:r>
        <w:rPr>
          <w:rFonts w:hint="eastAsia" w:ascii="宋体" w:hAnsi="宋体" w:eastAsia="宋体" w:cs="宋体"/>
        </w:rPr>
        <w:t>3.控制活动</w:t>
      </w:r>
    </w:p>
    <w:p>
      <w:pPr>
        <w:rPr>
          <w:rFonts w:hint="eastAsia" w:ascii="宋体" w:hAnsi="宋体" w:eastAsia="宋体" w:cs="宋体"/>
        </w:rPr>
      </w:pPr>
      <w:r>
        <w:rPr>
          <w:rFonts w:hint="eastAsia" w:ascii="宋体" w:hAnsi="宋体" w:eastAsia="宋体" w:cs="宋体"/>
        </w:rPr>
        <w:t>4.信息沟通</w:t>
      </w:r>
    </w:p>
    <w:p>
      <w:pPr>
        <w:rPr>
          <w:rFonts w:hint="eastAsia" w:ascii="宋体" w:hAnsi="宋体" w:eastAsia="宋体" w:cs="宋体"/>
          <w:color w:val="003399"/>
        </w:rPr>
      </w:pPr>
      <w:r>
        <w:rPr>
          <w:rFonts w:hint="eastAsia" w:ascii="宋体" w:hAnsi="宋体" w:eastAsia="宋体" w:cs="宋体"/>
        </w:rPr>
        <w:t>5.内部监控</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考点四</w:t>
      </w:r>
      <w:r>
        <w:rPr>
          <w:rFonts w:hint="eastAsia" w:ascii="宋体" w:hAnsi="宋体" w:eastAsia="宋体" w:cs="宋体"/>
        </w:rPr>
        <w:t xml:space="preserve"> 内部控制制度的组成内容</w:t>
      </w:r>
    </w:p>
    <w:p>
      <w:pPr>
        <w:rPr>
          <w:rFonts w:hint="eastAsia" w:ascii="宋体" w:hAnsi="宋体" w:eastAsia="宋体" w:cs="宋体"/>
        </w:rPr>
      </w:pPr>
      <w:r>
        <w:rPr>
          <w:rFonts w:hint="eastAsia" w:ascii="宋体" w:hAnsi="宋体" w:eastAsia="宋体" w:cs="宋体"/>
          <w:lang w:eastAsia="zh-CN"/>
        </w:rPr>
        <w:t>一</w:t>
      </w:r>
      <w:r>
        <w:rPr>
          <w:rFonts w:hint="eastAsia" w:ascii="宋体" w:hAnsi="宋体" w:eastAsia="宋体" w:cs="宋体"/>
        </w:rPr>
        <w:t>、内控大纲</w:t>
      </w:r>
    </w:p>
    <w:p>
      <w:pPr>
        <w:rPr>
          <w:rFonts w:hint="eastAsia" w:ascii="宋体" w:hAnsi="宋体" w:eastAsia="宋体" w:cs="宋体"/>
        </w:rPr>
      </w:pPr>
      <w:r>
        <w:rPr>
          <w:rFonts w:hint="eastAsia" w:ascii="宋体" w:hAnsi="宋体" w:eastAsia="宋体" w:cs="宋体"/>
        </w:rPr>
        <w:t>公司内部控制大纲是对公司章程规定的内控原则的细化和展开，是各项基本管理制度的纲要和总揽。内部控制大纲应当明确内控目标、内控原则、控制环境、内控措施等内容。</w:t>
      </w:r>
    </w:p>
    <w:p>
      <w:pPr>
        <w:rPr>
          <w:rFonts w:hint="eastAsia" w:ascii="宋体" w:hAnsi="宋体" w:eastAsia="宋体" w:cs="宋体"/>
        </w:rPr>
      </w:pPr>
      <w:r>
        <w:rPr>
          <w:rFonts w:hint="eastAsia" w:ascii="宋体" w:hAnsi="宋体" w:eastAsia="宋体" w:cs="宋体"/>
        </w:rPr>
        <w:t>二、基本管理制度</w:t>
      </w:r>
    </w:p>
    <w:p>
      <w:pPr>
        <w:rPr>
          <w:rFonts w:hint="eastAsia" w:ascii="宋体" w:hAnsi="宋体" w:eastAsia="宋体" w:cs="宋体"/>
        </w:rPr>
      </w:pPr>
      <w:r>
        <w:rPr>
          <w:rFonts w:hint="eastAsia" w:ascii="宋体" w:hAnsi="宋体" w:eastAsia="宋体" w:cs="宋体"/>
        </w:rPr>
        <w:t>基本管理制度应当至少包括风险控制、投资管理、基金会计、信息披露、监察稽核、信息技术管理、公司财务、资料档案管理、业绩评估考核和紧急应变等。</w:t>
      </w:r>
    </w:p>
    <w:p>
      <w:pPr>
        <w:rPr>
          <w:rFonts w:hint="eastAsia" w:ascii="宋体" w:hAnsi="宋体" w:eastAsia="宋体" w:cs="宋体"/>
        </w:rPr>
      </w:pPr>
      <w:r>
        <w:rPr>
          <w:rFonts w:hint="eastAsia" w:ascii="宋体" w:hAnsi="宋体" w:eastAsia="宋体" w:cs="宋体"/>
        </w:rPr>
        <w:t>三、部门规章</w:t>
      </w:r>
    </w:p>
    <w:p>
      <w:pPr>
        <w:rPr>
          <w:rFonts w:hint="eastAsia" w:ascii="宋体" w:hAnsi="宋体" w:eastAsia="宋体" w:cs="宋体"/>
        </w:rPr>
      </w:pPr>
      <w:r>
        <w:rPr>
          <w:rFonts w:hint="eastAsia" w:ascii="宋体" w:hAnsi="宋体" w:eastAsia="宋体" w:cs="宋体"/>
        </w:rPr>
        <w:t>部门业务规章是在基本管理制度的基础上，对各部门的主要职责、岗位设置、岗位责任、操作守则等的具体说明。</w:t>
      </w:r>
    </w:p>
    <w:p>
      <w:pPr>
        <w:rPr>
          <w:rFonts w:hint="eastAsia" w:ascii="宋体" w:hAnsi="宋体" w:eastAsia="宋体" w:cs="宋体"/>
        </w:rPr>
      </w:pPr>
      <w:r>
        <w:rPr>
          <w:rFonts w:hint="eastAsia" w:ascii="宋体" w:hAnsi="宋体" w:eastAsia="宋体" w:cs="宋体"/>
        </w:rPr>
        <w:t>四、业务操作手册</w:t>
      </w:r>
    </w:p>
    <w:p>
      <w:pPr>
        <w:rPr>
          <w:rFonts w:hint="eastAsia" w:ascii="宋体" w:hAnsi="宋体" w:eastAsia="宋体" w:cs="宋体"/>
          <w:color w:val="003399"/>
        </w:rPr>
      </w:pPr>
      <w:r>
        <w:rPr>
          <w:rFonts w:hint="eastAsia" w:ascii="宋体" w:hAnsi="宋体" w:eastAsia="宋体" w:cs="宋体"/>
        </w:rPr>
        <w:t>业务操作手册是在基金管理人确定相关业务基础上，对业务的性质、种类以及相关的管理规定和操作流程及要求进行明确的说明，是业务人员上岗操作的指南。</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考点五</w:t>
      </w:r>
      <w:r>
        <w:rPr>
          <w:rFonts w:hint="eastAsia" w:ascii="宋体" w:hAnsi="宋体" w:eastAsia="宋体" w:cs="宋体"/>
        </w:rPr>
        <w:t xml:space="preserve"> 基金交易业务控制的主要内容</w:t>
      </w:r>
    </w:p>
    <w:p>
      <w:pPr>
        <w:rPr>
          <w:rFonts w:hint="eastAsia" w:ascii="宋体" w:hAnsi="宋体" w:eastAsia="宋体" w:cs="宋体"/>
        </w:rPr>
      </w:pPr>
      <w:r>
        <w:rPr>
          <w:rFonts w:hint="eastAsia" w:ascii="宋体" w:hAnsi="宋体" w:eastAsia="宋体" w:cs="宋体"/>
        </w:rPr>
        <w:t>（1）基金交易应实行集中交易制度，基金经理不得直接向交易员下达投资指令或者直</w:t>
      </w:r>
    </w:p>
    <w:p>
      <w:pPr>
        <w:rPr>
          <w:rFonts w:hint="eastAsia" w:ascii="宋体" w:hAnsi="宋体" w:eastAsia="宋体" w:cs="宋体"/>
        </w:rPr>
      </w:pPr>
      <w:r>
        <w:rPr>
          <w:rFonts w:hint="eastAsia" w:ascii="宋体" w:hAnsi="宋体" w:eastAsia="宋体" w:cs="宋体"/>
        </w:rPr>
        <w:t>接进行交易。</w:t>
      </w:r>
    </w:p>
    <w:p>
      <w:pPr>
        <w:rPr>
          <w:rFonts w:hint="eastAsia" w:ascii="宋体" w:hAnsi="宋体" w:eastAsia="宋体" w:cs="宋体"/>
        </w:rPr>
      </w:pPr>
      <w:r>
        <w:rPr>
          <w:rFonts w:hint="eastAsia" w:ascii="宋体" w:hAnsi="宋体" w:eastAsia="宋体" w:cs="宋体"/>
        </w:rPr>
        <w:t>（2）公司应当建立交易监测系统、预警系统和交易反馈系统，完善相关的安全设施。</w:t>
      </w:r>
    </w:p>
    <w:p>
      <w:pPr>
        <w:rPr>
          <w:rFonts w:hint="eastAsia" w:ascii="宋体" w:hAnsi="宋体" w:eastAsia="宋体" w:cs="宋体"/>
        </w:rPr>
      </w:pPr>
      <w:r>
        <w:rPr>
          <w:rFonts w:hint="eastAsia" w:ascii="宋体" w:hAnsi="宋体" w:eastAsia="宋体" w:cs="宋体"/>
        </w:rPr>
        <w:t>（3）投资指令应当进行审核，确认其合法、合规与完整后方可执行，如出现指令违法违规或者其他异常情况，应当及时报告相应部门与人员。</w:t>
      </w:r>
    </w:p>
    <w:p>
      <w:pPr>
        <w:rPr>
          <w:rFonts w:hint="eastAsia" w:ascii="宋体" w:hAnsi="宋体" w:eastAsia="宋体" w:cs="宋体"/>
        </w:rPr>
      </w:pPr>
      <w:r>
        <w:rPr>
          <w:rFonts w:hint="eastAsia" w:ascii="宋体" w:hAnsi="宋体" w:eastAsia="宋体" w:cs="宋体"/>
        </w:rPr>
        <w:t>（4）公司应当执行公平的交易分配制度，确保不同投资者的利益能够得到公平对待。</w:t>
      </w:r>
    </w:p>
    <w:p>
      <w:pPr>
        <w:rPr>
          <w:rFonts w:hint="eastAsia" w:ascii="宋体" w:hAnsi="宋体" w:eastAsia="宋体" w:cs="宋体"/>
        </w:rPr>
      </w:pPr>
      <w:r>
        <w:rPr>
          <w:rFonts w:hint="eastAsia" w:ascii="宋体" w:hAnsi="宋体" w:eastAsia="宋体" w:cs="宋体"/>
        </w:rPr>
        <w:t>（5）建立完善的交易记录制度，每日投资组合列表等应当及时核对并存档保管。</w:t>
      </w:r>
    </w:p>
    <w:p>
      <w:pPr>
        <w:rPr>
          <w:rFonts w:hint="eastAsia" w:ascii="宋体" w:hAnsi="宋体" w:eastAsia="宋体" w:cs="宋体"/>
        </w:rPr>
      </w:pPr>
      <w:r>
        <w:rPr>
          <w:rFonts w:hint="eastAsia" w:ascii="宋体" w:hAnsi="宋体" w:eastAsia="宋体" w:cs="宋体"/>
        </w:rPr>
        <w:t>（6）建立科学的交易绩效评价体系。</w:t>
      </w:r>
    </w:p>
    <w:p>
      <w:pPr>
        <w:rPr>
          <w:rFonts w:hint="eastAsia" w:ascii="宋体" w:hAnsi="宋体" w:eastAsia="宋体" w:cs="宋体"/>
        </w:rPr>
      </w:pPr>
      <w:r>
        <w:rPr>
          <w:rFonts w:hint="eastAsia" w:ascii="宋体" w:hAnsi="宋体" w:eastAsia="宋体" w:cs="宋体"/>
        </w:rPr>
        <w:t>此外，场外交易、网下申购等特殊交易应当根据内部控制的原则制定相应的流程和规则。基金管理人应当建立严格有效的投资管理业务制度，防止不正当关联交易损害基金持有人利益。基金投资涉及关联交易的，应在相关投资研究报告中特别说明，并报公司相关机构批准。</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考点六</w:t>
      </w:r>
      <w:r>
        <w:rPr>
          <w:rFonts w:hint="eastAsia" w:ascii="宋体" w:hAnsi="宋体" w:eastAsia="宋体" w:cs="宋体"/>
        </w:rPr>
        <w:t xml:space="preserve"> 信息技术系统控制</w:t>
      </w:r>
    </w:p>
    <w:p>
      <w:pPr>
        <w:rPr>
          <w:rFonts w:hint="eastAsia" w:ascii="宋体" w:hAnsi="宋体" w:eastAsia="宋体" w:cs="宋体"/>
        </w:rPr>
      </w:pPr>
      <w:r>
        <w:rPr>
          <w:rFonts w:hint="eastAsia" w:ascii="宋体" w:hAnsi="宋体" w:eastAsia="宋体" w:cs="宋体"/>
        </w:rPr>
        <w:t>基金管理人应当根据国家法律法规的要求，遵循安全性、实用性、可操作性原则，严格制定信息系统的管理制度。</w:t>
      </w:r>
    </w:p>
    <w:p>
      <w:pPr>
        <w:rPr>
          <w:rFonts w:hint="eastAsia" w:ascii="宋体" w:hAnsi="宋体" w:eastAsia="宋体" w:cs="宋体"/>
        </w:rPr>
      </w:pPr>
      <w:r>
        <w:rPr>
          <w:rFonts w:hint="eastAsia" w:ascii="宋体" w:hAnsi="宋体" w:eastAsia="宋体" w:cs="宋体"/>
        </w:rPr>
        <w:t>（1）基金管理信息技术系统的设计开发应该符合国家、金融行业软件工程标准的要求，编写完整的技术资料；在实现业务电子化时，应设置保密系统和相应控制机制，并保证计算机系统的可稽性；信息技术系统投入运行前，应当经过业务、运营、监察稽核等部门的联合验收。</w:t>
      </w:r>
    </w:p>
    <w:p>
      <w:pPr>
        <w:rPr>
          <w:rFonts w:hint="eastAsia" w:ascii="宋体" w:hAnsi="宋体" w:eastAsia="宋体" w:cs="宋体"/>
        </w:rPr>
      </w:pPr>
      <w:r>
        <w:rPr>
          <w:rFonts w:hint="eastAsia" w:ascii="宋体" w:hAnsi="宋体" w:eastAsia="宋体" w:cs="宋体"/>
        </w:rPr>
        <w:t>（2）应当通过严格的授权制度、岗位责任制度、门禁制度、内外网分离制度等管理措施，确保系统安全运行。计算机机房、设备、网络等硬件要求应当符合有关标准，设备运行和维护整个过程实施明确的责任管理，严格划分业务操作、技术维护等方面的职责。</w:t>
      </w:r>
    </w:p>
    <w:p>
      <w:pPr>
        <w:rPr>
          <w:rFonts w:hint="eastAsia" w:ascii="宋体" w:hAnsi="宋体" w:eastAsia="宋体" w:cs="宋体"/>
        </w:rPr>
      </w:pPr>
      <w:r>
        <w:rPr>
          <w:rFonts w:hint="eastAsia" w:ascii="宋体" w:hAnsi="宋体" w:eastAsia="宋体" w:cs="宋体"/>
        </w:rPr>
        <w:t>（3）公司软件的使用应充分考虑软件的安全性、可靠性、稳定性和可扩展性，应具备身份验证、访问控制、故障恢复、安全保护、分权制约等功能。信息技术系统设计、软件开发等技术人员不得介入实际的业务操作。用户使用的密码口令要定期更换，不得向他人透露。数据库和操作系统的密码口令应当分别由不同人员保管。</w:t>
      </w:r>
    </w:p>
    <w:p>
      <w:pPr>
        <w:rPr>
          <w:rFonts w:hint="eastAsia" w:ascii="宋体" w:hAnsi="宋体" w:eastAsia="宋体" w:cs="宋体"/>
        </w:rPr>
      </w:pPr>
      <w:r>
        <w:rPr>
          <w:rFonts w:hint="eastAsia" w:ascii="宋体" w:hAnsi="宋体" w:eastAsia="宋体" w:cs="宋体"/>
        </w:rPr>
        <w:t>（4）公司应对信息数据实行严格的管理，保证信息数据的安全、真实和完整，并能及时、准确地传递到会计等各职能部门；严格规范计算机交易数据的授权修改程序，并坚持落实电子信息数据的定期查验制度。</w:t>
      </w:r>
    </w:p>
    <w:p>
      <w:pPr>
        <w:rPr>
          <w:rFonts w:hint="eastAsia" w:ascii="宋体" w:hAnsi="宋体" w:eastAsia="宋体" w:cs="宋体"/>
        </w:rPr>
      </w:pPr>
      <w:r>
        <w:rPr>
          <w:rFonts w:hint="eastAsia" w:ascii="宋体" w:hAnsi="宋体" w:eastAsia="宋体" w:cs="宋体"/>
        </w:rPr>
        <w:t>（5）基金管理人应建立电子信息数据的即时保存和备份制度，重要数据应当异地备份并且长期保存。信息技术系统应当定期稽核检查，完善业务数据保管等安全措施，进行排除故障、灾难恢复的演习，确保系统可靠、稳定、安全地运行。</w:t>
      </w:r>
    </w:p>
    <w:p>
      <w:pPr>
        <w:jc w:val="center"/>
        <w:rPr>
          <w:rFonts w:hint="eastAsia" w:ascii="宋体" w:hAnsi="宋体" w:eastAsia="宋体" w:cs="宋体"/>
          <w:b/>
          <w:bCs/>
        </w:rPr>
      </w:pPr>
      <w:r>
        <w:rPr>
          <w:rFonts w:hint="eastAsia" w:ascii="宋体" w:hAnsi="宋体" w:eastAsia="宋体" w:cs="宋体"/>
          <w:b/>
          <w:bCs/>
        </w:rPr>
        <w:t>第十三章</w:t>
      </w:r>
      <w:r>
        <w:rPr>
          <w:rFonts w:hint="eastAsia" w:ascii="宋体" w:hAnsi="宋体" w:eastAsia="宋体" w:cs="宋体"/>
          <w:b/>
          <w:bCs/>
        </w:rPr>
        <w:t xml:space="preserve"> </w:t>
      </w:r>
      <w:r>
        <w:rPr>
          <w:rFonts w:hint="eastAsia" w:ascii="宋体" w:hAnsi="宋体" w:eastAsia="宋体" w:cs="宋体"/>
          <w:b/>
          <w:bCs/>
        </w:rPr>
        <w:t>基金管理人的合规管理</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考点一</w:t>
      </w:r>
      <w:r>
        <w:rPr>
          <w:rFonts w:hint="eastAsia" w:ascii="宋体" w:hAnsi="宋体" w:eastAsia="宋体" w:cs="宋体"/>
        </w:rPr>
        <w:t xml:space="preserve"> 合规的独立性</w:t>
      </w:r>
    </w:p>
    <w:p>
      <w:pPr>
        <w:rPr>
          <w:rFonts w:hint="eastAsia" w:ascii="宋体" w:hAnsi="宋体" w:eastAsia="宋体" w:cs="宋体"/>
        </w:rPr>
      </w:pPr>
      <w:r>
        <w:rPr>
          <w:rFonts w:hint="eastAsia" w:ascii="宋体" w:hAnsi="宋体" w:eastAsia="宋体" w:cs="宋体"/>
        </w:rPr>
        <w:t>（1）合规独立性是指基金管理人的合规管理应当在体制机制、组织架构、人力资源、管理流程等诸多方面独立于内部其他风险部门、业务部门、内部审计部门等。</w:t>
      </w:r>
    </w:p>
    <w:p>
      <w:pPr>
        <w:rPr>
          <w:rFonts w:hint="eastAsia" w:ascii="宋体" w:hAnsi="宋体" w:eastAsia="宋体" w:cs="宋体"/>
        </w:rPr>
      </w:pPr>
      <w:r>
        <w:rPr>
          <w:rFonts w:hint="eastAsia" w:ascii="宋体" w:hAnsi="宋体" w:eastAsia="宋体" w:cs="宋体"/>
        </w:rPr>
        <w:t>（2）独立性原则是指合规管理应当独立于基金管理人的业务经营活动，以真正起到牵制制约的作用，是合规管理的关键性原则。</w:t>
      </w:r>
    </w:p>
    <w:p>
      <w:pPr>
        <w:jc w:val="left"/>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考点二</w:t>
      </w:r>
      <w:r>
        <w:rPr>
          <w:rFonts w:hint="eastAsia" w:ascii="宋体" w:hAnsi="宋体" w:eastAsia="宋体" w:cs="宋体"/>
        </w:rPr>
        <w:t xml:space="preserve"> 合规管理的目标和基本原则</w:t>
      </w:r>
    </w:p>
    <w:p>
      <w:pPr>
        <w:jc w:val="center"/>
        <w:rPr>
          <w:rFonts w:hint="eastAsia" w:ascii="宋体" w:hAnsi="宋体" w:eastAsia="宋体" w:cs="宋体"/>
        </w:rPr>
      </w:pPr>
      <w:r>
        <w:rPr>
          <w:rFonts w:hint="eastAsia" w:ascii="宋体" w:hAnsi="宋体" w:eastAsia="宋体" w:cs="宋体"/>
        </w:rPr>
        <w:t>1.基金管理人的合规管理目标是建立健全基金管理人合规风险管理体系，实现对合规风险的有效识别和管理，促进基金管理人全面风险管理体系的建设，确保基金管理人依法合规经营。</w:t>
      </w:r>
    </w:p>
    <w:p>
      <w:pPr>
        <w:jc w:val="left"/>
        <w:rPr>
          <w:rFonts w:hint="eastAsia" w:ascii="宋体" w:hAnsi="宋体" w:eastAsia="宋体" w:cs="宋体"/>
        </w:rPr>
      </w:pPr>
      <w:r>
        <w:rPr>
          <w:rFonts w:hint="eastAsia" w:ascii="宋体" w:hAnsi="宋体" w:eastAsia="宋体" w:cs="宋体"/>
        </w:rPr>
        <w:t>2.合规管理的基本原则</w:t>
      </w:r>
    </w:p>
    <w:p>
      <w:pPr>
        <w:jc w:val="left"/>
        <w:rPr>
          <w:rFonts w:hint="eastAsia" w:ascii="宋体" w:hAnsi="宋体" w:eastAsia="宋体" w:cs="宋体"/>
        </w:rPr>
      </w:pPr>
      <w:r>
        <w:rPr>
          <w:rFonts w:hint="eastAsia" w:ascii="宋体" w:hAnsi="宋体" w:eastAsia="宋体" w:cs="宋体"/>
        </w:rPr>
        <w:t>（1）独立性原则</w:t>
      </w:r>
    </w:p>
    <w:p>
      <w:pPr>
        <w:jc w:val="left"/>
        <w:rPr>
          <w:rFonts w:hint="eastAsia" w:ascii="宋体" w:hAnsi="宋体" w:eastAsia="宋体" w:cs="宋体"/>
        </w:rPr>
      </w:pPr>
      <w:r>
        <w:rPr>
          <w:rFonts w:hint="eastAsia" w:ascii="宋体" w:hAnsi="宋体" w:eastAsia="宋体" w:cs="宋体"/>
        </w:rPr>
        <w:t>（2）客观性原则</w:t>
      </w:r>
    </w:p>
    <w:p>
      <w:pPr>
        <w:jc w:val="left"/>
        <w:rPr>
          <w:rFonts w:hint="eastAsia" w:ascii="宋体" w:hAnsi="宋体" w:eastAsia="宋体" w:cs="宋体"/>
        </w:rPr>
      </w:pPr>
      <w:r>
        <w:rPr>
          <w:rFonts w:hint="eastAsia" w:ascii="宋体" w:hAnsi="宋体" w:eastAsia="宋体" w:cs="宋体"/>
        </w:rPr>
        <w:t>（3）公正性原则</w:t>
      </w:r>
    </w:p>
    <w:p>
      <w:pPr>
        <w:jc w:val="left"/>
        <w:rPr>
          <w:rFonts w:hint="eastAsia" w:ascii="宋体" w:hAnsi="宋体" w:eastAsia="宋体" w:cs="宋体"/>
        </w:rPr>
      </w:pPr>
      <w:r>
        <w:rPr>
          <w:rFonts w:hint="eastAsia" w:ascii="宋体" w:hAnsi="宋体" w:eastAsia="宋体" w:cs="宋体"/>
        </w:rPr>
        <w:t>（4）专业性原则</w:t>
      </w:r>
    </w:p>
    <w:p>
      <w:pPr>
        <w:jc w:val="left"/>
        <w:rPr>
          <w:rFonts w:hint="eastAsia" w:ascii="宋体" w:hAnsi="宋体" w:eastAsia="宋体" w:cs="宋体"/>
        </w:rPr>
      </w:pPr>
      <w:r>
        <w:rPr>
          <w:rFonts w:hint="eastAsia" w:ascii="宋体" w:hAnsi="宋体" w:eastAsia="宋体" w:cs="宋体"/>
        </w:rPr>
        <w:t>（5）协调性原则</w:t>
      </w:r>
    </w:p>
    <w:p>
      <w:pPr>
        <w:jc w:val="left"/>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三</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sz w:val="21"/>
          <w:szCs w:val="21"/>
        </w:rPr>
        <w:t>董</w:t>
      </w:r>
      <w:r>
        <w:rPr>
          <w:rFonts w:hint="eastAsia" w:ascii="宋体" w:hAnsi="宋体" w:eastAsia="宋体" w:cs="宋体"/>
        </w:rPr>
        <w:t>事会履行以下合规职责：</w:t>
      </w:r>
    </w:p>
    <w:p>
      <w:pPr>
        <w:jc w:val="left"/>
        <w:rPr>
          <w:rFonts w:hint="eastAsia" w:ascii="宋体" w:hAnsi="宋体" w:eastAsia="宋体" w:cs="宋体"/>
        </w:rPr>
      </w:pPr>
      <w:r>
        <w:rPr>
          <w:rFonts w:hint="eastAsia" w:ascii="宋体" w:hAnsi="宋体" w:eastAsia="宋体" w:cs="宋体"/>
        </w:rPr>
        <w:t>（1）审议批准合规管理的基本制度。</w:t>
      </w:r>
    </w:p>
    <w:p>
      <w:pPr>
        <w:jc w:val="left"/>
        <w:rPr>
          <w:rFonts w:hint="eastAsia" w:ascii="宋体" w:hAnsi="宋体" w:eastAsia="宋体" w:cs="宋体"/>
        </w:rPr>
      </w:pPr>
      <w:r>
        <w:rPr>
          <w:rFonts w:hint="eastAsia" w:ascii="宋体" w:hAnsi="宋体" w:eastAsia="宋体" w:cs="宋体"/>
        </w:rPr>
        <w:t>（2）审议批准公司年度合规报告。</w:t>
      </w:r>
    </w:p>
    <w:p>
      <w:pPr>
        <w:jc w:val="left"/>
        <w:rPr>
          <w:rFonts w:hint="eastAsia" w:ascii="宋体" w:hAnsi="宋体" w:eastAsia="宋体" w:cs="宋体"/>
        </w:rPr>
      </w:pPr>
      <w:r>
        <w:rPr>
          <w:rFonts w:hint="eastAsia" w:ascii="宋体" w:hAnsi="宋体" w:eastAsia="宋体" w:cs="宋体"/>
        </w:rPr>
        <w:t>（3）决定解聘对发生重大合规风险负有主要责任或者领导责任的高级管理人员。</w:t>
      </w:r>
    </w:p>
    <w:p>
      <w:pPr>
        <w:jc w:val="left"/>
        <w:rPr>
          <w:rFonts w:hint="eastAsia" w:ascii="宋体" w:hAnsi="宋体" w:eastAsia="宋体" w:cs="宋体"/>
        </w:rPr>
      </w:pPr>
      <w:r>
        <w:rPr>
          <w:rFonts w:hint="eastAsia" w:ascii="宋体" w:hAnsi="宋体" w:eastAsia="宋体" w:cs="宋体"/>
        </w:rPr>
        <w:t>（4）决定合规负责人的聘任、解聘、考核及薪酬事项。</w:t>
      </w:r>
    </w:p>
    <w:p>
      <w:pPr>
        <w:jc w:val="left"/>
        <w:rPr>
          <w:rFonts w:hint="eastAsia" w:ascii="宋体" w:hAnsi="宋体" w:eastAsia="宋体" w:cs="宋体"/>
        </w:rPr>
      </w:pPr>
      <w:r>
        <w:rPr>
          <w:rFonts w:hint="eastAsia" w:ascii="宋体" w:hAnsi="宋体" w:eastAsia="宋体" w:cs="宋体"/>
        </w:rPr>
        <w:t>（5）建立与合规负责人的直接沟通机制。</w:t>
      </w:r>
    </w:p>
    <w:p>
      <w:pPr>
        <w:jc w:val="left"/>
        <w:rPr>
          <w:rFonts w:hint="eastAsia" w:ascii="宋体" w:hAnsi="宋体" w:eastAsia="宋体" w:cs="宋体"/>
        </w:rPr>
      </w:pPr>
      <w:r>
        <w:rPr>
          <w:rFonts w:hint="eastAsia" w:ascii="宋体" w:hAnsi="宋体" w:eastAsia="宋体" w:cs="宋体"/>
        </w:rPr>
        <w:t>（6）评估合规管理有效性，督促解决合规管理中存在的问题。</w:t>
      </w:r>
    </w:p>
    <w:p>
      <w:pPr>
        <w:jc w:val="left"/>
        <w:rPr>
          <w:rFonts w:hint="eastAsia" w:ascii="宋体" w:hAnsi="宋体" w:eastAsia="宋体" w:cs="宋体"/>
          <w:b/>
          <w:bCs/>
          <w:color w:val="4472C4" w:themeColor="accent1"/>
          <w:lang w:val="en-US" w:eastAsia="zh-CN"/>
          <w14:textFill>
            <w14:solidFill>
              <w14:schemeClr w14:val="accent1"/>
            </w14:solidFill>
          </w14:textFill>
        </w:rPr>
      </w:pPr>
      <w:r>
        <w:rPr>
          <w:rFonts w:hint="eastAsia" w:ascii="宋体" w:hAnsi="宋体" w:eastAsia="宋体" w:cs="宋体"/>
        </w:rPr>
        <w:t>（7）公司章程规定的其他合规责任。</w:t>
      </w:r>
    </w:p>
    <w:p>
      <w:pPr>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四</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Cs/>
          <w:sz w:val="21"/>
          <w:szCs w:val="21"/>
        </w:rPr>
        <w:t>监</w:t>
      </w:r>
      <w:r>
        <w:rPr>
          <w:rFonts w:hint="eastAsia" w:ascii="宋体" w:hAnsi="宋体" w:eastAsia="宋体" w:cs="宋体"/>
        </w:rPr>
        <w:t>事会的合规责任</w:t>
      </w:r>
    </w:p>
    <w:p>
      <w:pPr>
        <w:jc w:val="left"/>
        <w:rPr>
          <w:rFonts w:hint="eastAsia" w:ascii="宋体" w:hAnsi="宋体" w:eastAsia="宋体" w:cs="宋体"/>
        </w:rPr>
      </w:pPr>
      <w:r>
        <w:rPr>
          <w:rFonts w:hint="eastAsia" w:ascii="宋体" w:hAnsi="宋体" w:eastAsia="宋体" w:cs="宋体"/>
        </w:rPr>
        <w:t>1.对经营管理的业务监督包括以下方面：</w:t>
      </w:r>
    </w:p>
    <w:p>
      <w:pPr>
        <w:jc w:val="left"/>
        <w:rPr>
          <w:rFonts w:hint="eastAsia" w:ascii="宋体" w:hAnsi="宋体" w:eastAsia="宋体" w:cs="宋体"/>
        </w:rPr>
      </w:pPr>
      <w:r>
        <w:rPr>
          <w:rFonts w:hint="eastAsia" w:ascii="宋体" w:hAnsi="宋体" w:eastAsia="宋体" w:cs="宋体"/>
        </w:rPr>
        <w:t>（1）通知业务机构停止其违法行为。</w:t>
      </w:r>
    </w:p>
    <w:p>
      <w:pPr>
        <w:jc w:val="left"/>
        <w:rPr>
          <w:rFonts w:hint="eastAsia" w:ascii="宋体" w:hAnsi="宋体" w:eastAsia="宋体" w:cs="宋体"/>
        </w:rPr>
      </w:pPr>
      <w:r>
        <w:rPr>
          <w:rFonts w:hint="eastAsia" w:ascii="宋体" w:hAnsi="宋体" w:eastAsia="宋体" w:cs="宋体"/>
        </w:rPr>
        <w:t>（2）随时调查公司的财务状况，审查账册文件，并有权要求董事会向其提供情况。</w:t>
      </w:r>
    </w:p>
    <w:p>
      <w:pPr>
        <w:jc w:val="left"/>
        <w:rPr>
          <w:rFonts w:hint="eastAsia" w:ascii="宋体" w:hAnsi="宋体" w:eastAsia="宋体" w:cs="宋体"/>
        </w:rPr>
      </w:pPr>
      <w:r>
        <w:rPr>
          <w:rFonts w:hint="eastAsia" w:ascii="宋体" w:hAnsi="宋体" w:eastAsia="宋体" w:cs="宋体"/>
        </w:rPr>
        <w:t>（3）审核董事会编制的提供给股东会的各种报表，并把审核意见向股东会报告。</w:t>
      </w:r>
    </w:p>
    <w:p>
      <w:pPr>
        <w:jc w:val="left"/>
        <w:rPr>
          <w:rFonts w:hint="eastAsia" w:ascii="宋体" w:hAnsi="宋体" w:eastAsia="宋体" w:cs="宋体"/>
        </w:rPr>
      </w:pPr>
      <w:r>
        <w:rPr>
          <w:rFonts w:hint="eastAsia" w:ascii="宋体" w:hAnsi="宋体" w:eastAsia="宋体" w:cs="宋体"/>
        </w:rPr>
        <w:t>（4）当监事会认为有必要时，一般是在公司出现重大问题时，可以提议召开股东会。</w:t>
      </w:r>
    </w:p>
    <w:p>
      <w:pPr>
        <w:jc w:val="left"/>
        <w:rPr>
          <w:rFonts w:hint="eastAsia" w:ascii="宋体" w:hAnsi="宋体" w:eastAsia="宋体" w:cs="宋体"/>
        </w:rPr>
      </w:pPr>
      <w:r>
        <w:rPr>
          <w:rFonts w:hint="eastAsia" w:ascii="宋体" w:hAnsi="宋体" w:eastAsia="宋体" w:cs="宋体"/>
        </w:rPr>
        <w:t>2.此外，在以下特殊情况下，监事会有代表公司的权利：</w:t>
      </w:r>
    </w:p>
    <w:p>
      <w:pPr>
        <w:jc w:val="left"/>
        <w:rPr>
          <w:rFonts w:hint="eastAsia" w:ascii="宋体" w:hAnsi="宋体" w:eastAsia="宋体" w:cs="宋体"/>
        </w:rPr>
      </w:pPr>
      <w:r>
        <w:rPr>
          <w:rFonts w:hint="eastAsia" w:ascii="宋体" w:hAnsi="宋体" w:eastAsia="宋体" w:cs="宋体"/>
        </w:rPr>
        <w:t>（1）当公司与董事间发生诉讼时，除法律另有规定外，由监事会代表公司作为诉讼一方处理有关法律事宜。</w:t>
      </w:r>
    </w:p>
    <w:p>
      <w:pPr>
        <w:jc w:val="left"/>
        <w:rPr>
          <w:rFonts w:hint="eastAsia" w:ascii="宋体" w:hAnsi="宋体" w:eastAsia="宋体" w:cs="宋体"/>
        </w:rPr>
      </w:pPr>
      <w:r>
        <w:rPr>
          <w:rFonts w:hint="eastAsia" w:ascii="宋体" w:hAnsi="宋体" w:eastAsia="宋体" w:cs="宋体"/>
        </w:rPr>
        <w:t>（2）当董事自己或他人与本公司有交涉时，由监事会代表公司与董事进行交涉。</w:t>
      </w:r>
    </w:p>
    <w:p>
      <w:pPr>
        <w:jc w:val="left"/>
        <w:rPr>
          <w:rFonts w:hint="eastAsia" w:ascii="宋体" w:hAnsi="宋体" w:eastAsia="宋体" w:cs="宋体"/>
        </w:rPr>
      </w:pPr>
      <w:r>
        <w:rPr>
          <w:rFonts w:hint="eastAsia" w:ascii="宋体" w:hAnsi="宋体" w:eastAsia="宋体" w:cs="宋体"/>
        </w:rPr>
        <w:t>（3）当监事调查公司业务及财务状况，审核账册报表时，有权代表公司委托律师、会计师或其他第三方人员协助调查。</w:t>
      </w:r>
    </w:p>
    <w:p>
      <w:pPr>
        <w:jc w:val="left"/>
        <w:rPr>
          <w:rFonts w:hint="eastAsia" w:ascii="宋体" w:hAnsi="宋体" w:eastAsia="宋体" w:cs="宋体"/>
        </w:rPr>
      </w:pPr>
      <w:r>
        <w:rPr>
          <w:rFonts w:hint="eastAsia" w:ascii="宋体" w:hAnsi="宋体" w:eastAsia="宋体" w:cs="宋体"/>
        </w:rPr>
        <w:t>3.基金管理人设监事会，监事会向股东会负责。监事会依法行使下列职权：</w:t>
      </w:r>
    </w:p>
    <w:p>
      <w:pPr>
        <w:jc w:val="left"/>
        <w:rPr>
          <w:rFonts w:hint="eastAsia" w:ascii="宋体" w:hAnsi="宋体" w:eastAsia="宋体" w:cs="宋体"/>
        </w:rPr>
      </w:pPr>
      <w:r>
        <w:rPr>
          <w:rFonts w:hint="eastAsia" w:ascii="宋体" w:hAnsi="宋体" w:eastAsia="宋体" w:cs="宋体"/>
        </w:rPr>
        <w:t>（1）检查公司的财务。</w:t>
      </w:r>
    </w:p>
    <w:p>
      <w:pPr>
        <w:jc w:val="left"/>
        <w:rPr>
          <w:rFonts w:hint="eastAsia" w:ascii="宋体" w:hAnsi="宋体" w:eastAsia="宋体" w:cs="宋体"/>
        </w:rPr>
      </w:pPr>
      <w:r>
        <w:rPr>
          <w:rFonts w:hint="eastAsia" w:ascii="宋体" w:hAnsi="宋体" w:eastAsia="宋体" w:cs="宋体"/>
        </w:rPr>
        <w:t>（2）对公司董事和高级管理人员履行合规管理职责的情况进行监督。</w:t>
      </w:r>
    </w:p>
    <w:p>
      <w:pPr>
        <w:jc w:val="left"/>
        <w:rPr>
          <w:rFonts w:hint="eastAsia" w:ascii="宋体" w:hAnsi="宋体" w:eastAsia="宋体" w:cs="宋体"/>
        </w:rPr>
      </w:pPr>
      <w:r>
        <w:rPr>
          <w:rFonts w:hint="eastAsia" w:ascii="宋体" w:hAnsi="宋体" w:eastAsia="宋体" w:cs="宋体"/>
        </w:rPr>
        <w:t>（3）对发生重大合规风险负有主要责任或者领导责任的董事和高级管理人员提出罢免的建议。</w:t>
      </w:r>
    </w:p>
    <w:p>
      <w:pPr>
        <w:jc w:val="left"/>
        <w:rPr>
          <w:rFonts w:hint="eastAsia" w:ascii="宋体" w:hAnsi="宋体" w:eastAsia="宋体" w:cs="宋体"/>
        </w:rPr>
      </w:pPr>
      <w:r>
        <w:rPr>
          <w:rFonts w:hint="eastAsia" w:ascii="宋体" w:hAnsi="宋体" w:eastAsia="宋体" w:cs="宋体"/>
        </w:rPr>
        <w:t>（4）提议召开临时股东会。</w:t>
      </w:r>
    </w:p>
    <w:p>
      <w:pPr>
        <w:jc w:val="left"/>
        <w:rPr>
          <w:rFonts w:hint="eastAsia" w:ascii="宋体" w:hAnsi="宋体" w:eastAsia="宋体" w:cs="宋体"/>
        </w:rPr>
      </w:pPr>
      <w:r>
        <w:rPr>
          <w:rFonts w:hint="eastAsia" w:ascii="宋体" w:hAnsi="宋体" w:eastAsia="宋体" w:cs="宋体"/>
        </w:rPr>
        <w:t>（5）列席董事会会议。</w:t>
      </w:r>
    </w:p>
    <w:p>
      <w:pPr>
        <w:jc w:val="left"/>
        <w:rPr>
          <w:rFonts w:hint="eastAsia" w:ascii="宋体" w:hAnsi="宋体" w:eastAsia="宋体" w:cs="宋体"/>
        </w:rPr>
      </w:pPr>
      <w:r>
        <w:rPr>
          <w:rFonts w:hint="eastAsia" w:ascii="宋体" w:hAnsi="宋体" w:eastAsia="宋体" w:cs="宋体"/>
        </w:rPr>
        <w:t>（6）公司章程规定的其他职权。</w:t>
      </w:r>
    </w:p>
    <w:p>
      <w:pPr>
        <w:jc w:val="left"/>
        <w:rPr>
          <w:rFonts w:hint="eastAsia" w:ascii="宋体" w:hAnsi="宋体" w:eastAsia="宋体" w:cs="宋体"/>
          <w:b/>
          <w:bCs/>
          <w:color w:val="4472C4" w:themeColor="accent1"/>
          <w:lang w:val="en-US" w:eastAsia="zh-CN"/>
          <w14:textFill>
            <w14:solidFill>
              <w14:schemeClr w14:val="accent1"/>
            </w14:solidFill>
          </w14:textFill>
        </w:rPr>
      </w:pPr>
      <w:r>
        <w:rPr>
          <w:rFonts w:hint="eastAsia" w:ascii="宋体" w:hAnsi="宋体" w:eastAsia="宋体" w:cs="宋体"/>
        </w:rPr>
        <w:t>4.监事会每年至少召开一次会议，监事会会议应当由全体监事出席时方可举行，每名监事有一票表决权。监事会决议至少须经半数以上监事投票通过。</w:t>
      </w:r>
    </w:p>
    <w:p>
      <w:pPr>
        <w:jc w:val="left"/>
        <w:rPr>
          <w:rFonts w:hint="eastAsia" w:ascii="宋体" w:hAnsi="宋体" w:eastAsia="宋体" w:cs="宋体"/>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五</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rPr>
        <w:t>督察长的合规责任</w:t>
      </w:r>
    </w:p>
    <w:p>
      <w:pPr>
        <w:jc w:val="left"/>
        <w:rPr>
          <w:rFonts w:hint="eastAsia" w:ascii="宋体" w:hAnsi="宋体" w:eastAsia="宋体" w:cs="宋体"/>
        </w:rPr>
      </w:pPr>
      <w:r>
        <w:rPr>
          <w:rFonts w:hint="eastAsia" w:ascii="宋体" w:hAnsi="宋体" w:eastAsia="宋体" w:cs="宋体"/>
        </w:rPr>
        <w:t>1.基金管理人应保证督察长的独立性。督察长负责组织指导公司监察稽核工作，履行职责的范围应当涵盖基金及公司运作的所有业务环节。</w:t>
      </w:r>
    </w:p>
    <w:p>
      <w:pPr>
        <w:jc w:val="left"/>
        <w:rPr>
          <w:rFonts w:hint="eastAsia" w:ascii="宋体" w:hAnsi="宋体" w:eastAsia="宋体" w:cs="宋体"/>
        </w:rPr>
      </w:pPr>
      <w:r>
        <w:rPr>
          <w:rFonts w:hint="eastAsia" w:ascii="宋体" w:hAnsi="宋体" w:eastAsia="宋体" w:cs="宋体"/>
        </w:rPr>
        <w:t>2.督察长监督检查公司内部风险控制情况，应当重点关注下列事项：</w:t>
      </w:r>
    </w:p>
    <w:p>
      <w:pPr>
        <w:jc w:val="left"/>
        <w:rPr>
          <w:rFonts w:hint="eastAsia" w:ascii="宋体" w:hAnsi="宋体" w:eastAsia="宋体" w:cs="宋体"/>
        </w:rPr>
      </w:pPr>
      <w:r>
        <w:rPr>
          <w:rFonts w:hint="eastAsia" w:ascii="宋体" w:hAnsi="宋体" w:eastAsia="宋体" w:cs="宋体"/>
        </w:rPr>
        <w:t>（1）公司是否按照法律法规和中国证监会的规定制定和修改各项业务规章制度及业务操作流程。</w:t>
      </w:r>
    </w:p>
    <w:p>
      <w:pPr>
        <w:jc w:val="left"/>
        <w:rPr>
          <w:rFonts w:hint="eastAsia" w:ascii="宋体" w:hAnsi="宋体" w:eastAsia="宋体" w:cs="宋体"/>
        </w:rPr>
      </w:pPr>
      <w:r>
        <w:rPr>
          <w:rFonts w:hint="eastAsia" w:ascii="宋体" w:hAnsi="宋体" w:eastAsia="宋体" w:cs="宋体"/>
        </w:rPr>
        <w:t>（2）公司是否对各项业务制定和实施相应的风险控制制度。</w:t>
      </w:r>
    </w:p>
    <w:p>
      <w:pPr>
        <w:jc w:val="left"/>
        <w:rPr>
          <w:rFonts w:hint="eastAsia" w:ascii="宋体" w:hAnsi="宋体" w:eastAsia="宋体" w:cs="宋体"/>
        </w:rPr>
      </w:pPr>
      <w:r>
        <w:rPr>
          <w:rFonts w:hint="eastAsia" w:ascii="宋体" w:hAnsi="宋体" w:eastAsia="宋体" w:cs="宋体"/>
        </w:rPr>
        <w:t>（3）公司员工是否严格有效执行公司规章制度。</w:t>
      </w:r>
    </w:p>
    <w:p>
      <w:pPr>
        <w:jc w:val="left"/>
        <w:rPr>
          <w:rFonts w:hint="eastAsia" w:ascii="宋体" w:hAnsi="宋体" w:eastAsia="宋体" w:cs="宋体"/>
        </w:rPr>
      </w:pPr>
      <w:r>
        <w:rPr>
          <w:rFonts w:hint="eastAsia" w:ascii="宋体" w:hAnsi="宋体" w:eastAsia="宋体" w:cs="宋体"/>
        </w:rPr>
        <w:t>3.督察长应当定期或者不定期向全体董事报送工作报告，并在董事会及董事会下设的相关专门委员会定期会议上报告基金及公司运作的合法合规情况及公司内部风险控制情况。</w:t>
      </w:r>
    </w:p>
    <w:p>
      <w:pPr>
        <w:jc w:val="left"/>
        <w:rPr>
          <w:rFonts w:hint="eastAsia" w:ascii="宋体" w:hAnsi="宋体" w:eastAsia="宋体" w:cs="宋体"/>
        </w:rPr>
      </w:pPr>
      <w:r>
        <w:rPr>
          <w:rFonts w:hint="eastAsia" w:ascii="宋体" w:hAnsi="宋体" w:eastAsia="宋体" w:cs="宋体"/>
        </w:rPr>
        <w:t>4.督察长享有充分的知情权和独立的调查权。</w:t>
      </w:r>
    </w:p>
    <w:p>
      <w:pPr>
        <w:jc w:val="left"/>
        <w:rPr>
          <w:rFonts w:hint="eastAsia" w:ascii="宋体" w:hAnsi="宋体" w:eastAsia="宋体" w:cs="宋体"/>
        </w:rPr>
      </w:pPr>
      <w:r>
        <w:rPr>
          <w:rFonts w:hint="eastAsia" w:ascii="宋体" w:hAnsi="宋体" w:eastAsia="宋体" w:cs="宋体"/>
        </w:rPr>
        <w:t>5.发现下列情形之一的，督察长应当及时向公司董事会、中国证监会及相关派出机构报告：</w:t>
      </w:r>
    </w:p>
    <w:p>
      <w:pPr>
        <w:jc w:val="left"/>
        <w:rPr>
          <w:rFonts w:hint="eastAsia" w:ascii="宋体" w:hAnsi="宋体" w:eastAsia="宋体" w:cs="宋体"/>
        </w:rPr>
      </w:pPr>
      <w:r>
        <w:rPr>
          <w:rFonts w:hint="eastAsia" w:ascii="宋体" w:hAnsi="宋体" w:eastAsia="宋体" w:cs="宋体"/>
        </w:rPr>
        <w:t>（1）基金及公司发生违法违规行为。</w:t>
      </w:r>
    </w:p>
    <w:p>
      <w:pPr>
        <w:jc w:val="left"/>
        <w:rPr>
          <w:rFonts w:hint="eastAsia" w:ascii="宋体" w:hAnsi="宋体" w:eastAsia="宋体" w:cs="宋体"/>
        </w:rPr>
      </w:pPr>
      <w:r>
        <w:rPr>
          <w:rFonts w:hint="eastAsia" w:ascii="宋体" w:hAnsi="宋体" w:eastAsia="宋体" w:cs="宋体"/>
        </w:rPr>
        <w:t>（2）基金及公司存在重大经营风险或者隐患。</w:t>
      </w:r>
    </w:p>
    <w:p>
      <w:pPr>
        <w:jc w:val="left"/>
        <w:rPr>
          <w:rFonts w:hint="eastAsia" w:ascii="宋体" w:hAnsi="宋体" w:eastAsia="宋体" w:cs="宋体"/>
        </w:rPr>
      </w:pPr>
      <w:r>
        <w:rPr>
          <w:rFonts w:hint="eastAsia" w:ascii="宋体" w:hAnsi="宋体" w:eastAsia="宋体" w:cs="宋体"/>
        </w:rPr>
        <w:t>（3）督察长依法认为需要报告的其他情形。</w:t>
      </w:r>
    </w:p>
    <w:p>
      <w:pPr>
        <w:jc w:val="left"/>
        <w:rPr>
          <w:rFonts w:hint="eastAsia" w:ascii="宋体" w:hAnsi="宋体" w:eastAsia="宋体" w:cs="宋体"/>
          <w:b/>
          <w:bCs/>
          <w:color w:val="4472C4" w:themeColor="accent1"/>
          <w:lang w:eastAsia="zh-CN"/>
          <w14:textFill>
            <w14:solidFill>
              <w14:schemeClr w14:val="accent1"/>
            </w14:solidFill>
          </w14:textFill>
        </w:rPr>
      </w:pPr>
      <w:r>
        <w:rPr>
          <w:rFonts w:hint="eastAsia" w:ascii="宋体" w:hAnsi="宋体" w:eastAsia="宋体" w:cs="宋体"/>
        </w:rPr>
        <w:t>（4）中国证监会规定的其他情形。</w:t>
      </w:r>
    </w:p>
    <w:p>
      <w:pPr>
        <w:jc w:val="left"/>
        <w:rPr>
          <w:rFonts w:hint="eastAsia" w:ascii="宋体" w:hAnsi="宋体" w:eastAsia="宋体" w:cs="宋体"/>
          <w:lang w:val="en-US" w:eastAsia="zh-CN"/>
        </w:rPr>
      </w:pPr>
      <w:r>
        <w:rPr>
          <w:rFonts w:hint="eastAsia" w:ascii="宋体" w:hAnsi="宋体" w:eastAsia="宋体" w:cs="宋体"/>
          <w:b/>
          <w:bCs/>
          <w:color w:val="4472C4" w:themeColor="accent1"/>
          <w14:textFill>
            <w14:solidFill>
              <w14:schemeClr w14:val="accent1"/>
            </w14:solidFill>
          </w14:textFill>
        </w:rPr>
        <w:t>考点</w:t>
      </w:r>
      <w:r>
        <w:rPr>
          <w:rFonts w:hint="eastAsia" w:ascii="宋体" w:hAnsi="宋体" w:eastAsia="宋体" w:cs="宋体"/>
          <w:b/>
          <w:bCs/>
          <w:color w:val="4472C4" w:themeColor="accent1"/>
          <w:lang w:eastAsia="zh-CN"/>
          <w14:textFill>
            <w14:solidFill>
              <w14:schemeClr w14:val="accent1"/>
            </w14:solidFill>
          </w14:textFill>
        </w:rPr>
        <w:t>六</w:t>
      </w:r>
      <w:r>
        <w:rPr>
          <w:rFonts w:hint="eastAsia" w:ascii="宋体" w:hAnsi="宋体" w:eastAsia="宋体" w:cs="宋体"/>
          <w:b/>
          <w:bCs/>
          <w:color w:val="4472C4" w:themeColor="accent1"/>
          <w:lang w:val="en-US" w:eastAsia="zh-CN"/>
          <w14:textFill>
            <w14:solidFill>
              <w14:schemeClr w14:val="accent1"/>
            </w14:solidFill>
          </w14:textFill>
        </w:rPr>
        <w:t xml:space="preserve"> </w:t>
      </w:r>
      <w:r>
        <w:rPr>
          <w:rFonts w:hint="eastAsia" w:ascii="宋体" w:hAnsi="宋体" w:eastAsia="宋体" w:cs="宋体"/>
          <w:b w:val="0"/>
          <w:bCs w:val="0"/>
          <w:color w:val="auto"/>
          <w:lang w:val="en-US" w:eastAsia="zh-CN"/>
        </w:rPr>
        <w:t>合规</w:t>
      </w:r>
      <w:r>
        <w:rPr>
          <w:rFonts w:hint="eastAsia" w:ascii="宋体" w:hAnsi="宋体" w:eastAsia="宋体" w:cs="宋体"/>
          <w:lang w:val="en-US" w:eastAsia="zh-CN"/>
        </w:rPr>
        <w:t>风险的种类和主要管理措施</w:t>
      </w:r>
    </w:p>
    <w:p>
      <w:pPr>
        <w:jc w:val="left"/>
        <w:rPr>
          <w:rFonts w:hint="eastAsia" w:ascii="宋体" w:hAnsi="宋体" w:eastAsia="宋体" w:cs="宋体"/>
          <w:lang w:val="en-US" w:eastAsia="zh-CN"/>
        </w:rPr>
      </w:pPr>
      <w:r>
        <w:rPr>
          <w:rFonts w:hint="eastAsia" w:ascii="宋体" w:hAnsi="宋体" w:eastAsia="宋体" w:cs="宋体"/>
          <w:lang w:val="en-US" w:eastAsia="zh-CN"/>
        </w:rPr>
        <w:t>1.合规风险是指因公司及员工违反法律法规、基金合同和公司内部规章制度等而导致公司可能遭受法律制裁、监管处罚、重大财务损失和声誉损失的风险。</w:t>
      </w:r>
    </w:p>
    <w:p>
      <w:pPr>
        <w:jc w:val="left"/>
        <w:rPr>
          <w:rFonts w:hint="eastAsia" w:ascii="宋体" w:hAnsi="宋体" w:eastAsia="宋体" w:cs="宋体"/>
          <w:lang w:val="en-US" w:eastAsia="zh-CN"/>
        </w:rPr>
      </w:pPr>
      <w:r>
        <w:rPr>
          <w:rFonts w:hint="eastAsia" w:ascii="宋体" w:hAnsi="宋体" w:eastAsia="宋体" w:cs="宋体"/>
          <w:lang w:val="en-US" w:eastAsia="zh-CN"/>
        </w:rPr>
        <w:t>2.合规风险的主要种类包括投资合规性风险、销售合规性风险、信息披露合规性风险和反洗钱合规性风险。</w:t>
      </w:r>
    </w:p>
    <w:p>
      <w:pPr>
        <w:rPr>
          <w:rFonts w:hint="eastAsia" w:ascii="宋体" w:hAnsi="宋体" w:eastAsia="宋体" w:cs="宋体"/>
        </w:rPr>
      </w:pPr>
    </w:p>
    <w:sectPr>
      <w:headerReference r:id="rId5" w:type="first"/>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20683423" o:spid="_x0000_s1027" o:spt="75" type="#_x0000_t75" style="position:absolute;left:0pt;height:123.1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天一网校"/>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20683422" o:spid="_x0000_s1026" o:spt="75" type="#_x0000_t75" style="position:absolute;left:0pt;height:123.1pt;width:415.1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天一网校"/>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20683421" o:spid="_x0000_s1025" o:spt="75" type="#_x0000_t75" style="position:absolute;left:0pt;height:123.1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天一网校"/>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8AE4F"/>
    <w:multiLevelType w:val="singleLevel"/>
    <w:tmpl w:val="ABD8AE4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hZDMxZGM2Y2E5MjI1ODUxOGNhMWNiMTZlM2VhM2YifQ=="/>
  </w:docVars>
  <w:rsids>
    <w:rsidRoot w:val="00924B95"/>
    <w:rsid w:val="00007376"/>
    <w:rsid w:val="00106390"/>
    <w:rsid w:val="00160A2C"/>
    <w:rsid w:val="00170FB4"/>
    <w:rsid w:val="001E09CF"/>
    <w:rsid w:val="001F1575"/>
    <w:rsid w:val="00225985"/>
    <w:rsid w:val="00286DE0"/>
    <w:rsid w:val="002D2D1D"/>
    <w:rsid w:val="002F321A"/>
    <w:rsid w:val="00425233"/>
    <w:rsid w:val="00590C10"/>
    <w:rsid w:val="006806C8"/>
    <w:rsid w:val="00681DE1"/>
    <w:rsid w:val="00746DF3"/>
    <w:rsid w:val="007A07AD"/>
    <w:rsid w:val="007C14A1"/>
    <w:rsid w:val="007E073A"/>
    <w:rsid w:val="008B3964"/>
    <w:rsid w:val="008E3662"/>
    <w:rsid w:val="00924B95"/>
    <w:rsid w:val="0095204E"/>
    <w:rsid w:val="00970E88"/>
    <w:rsid w:val="009B16CF"/>
    <w:rsid w:val="00BA3912"/>
    <w:rsid w:val="00BF76A0"/>
    <w:rsid w:val="00C53C56"/>
    <w:rsid w:val="00CB000A"/>
    <w:rsid w:val="00DA6582"/>
    <w:rsid w:val="00EB45DA"/>
    <w:rsid w:val="00FB5FEB"/>
    <w:rsid w:val="04CA6887"/>
    <w:rsid w:val="255045B2"/>
    <w:rsid w:val="2A0D263D"/>
    <w:rsid w:val="3D281F33"/>
    <w:rsid w:val="4DFC7B96"/>
    <w:rsid w:val="55746643"/>
    <w:rsid w:val="5CE60D7D"/>
    <w:rsid w:val="5D947506"/>
    <w:rsid w:val="5DD57758"/>
    <w:rsid w:val="67A55390"/>
    <w:rsid w:val="705160B5"/>
    <w:rsid w:val="70D40B17"/>
    <w:rsid w:val="71BC6F47"/>
    <w:rsid w:val="7E012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32910</Words>
  <Characters>33532</Characters>
  <Lines>328</Lines>
  <Paragraphs>92</Paragraphs>
  <TotalTime>3</TotalTime>
  <ScaleCrop>false</ScaleCrop>
  <LinksUpToDate>false</LinksUpToDate>
  <CharactersWithSpaces>34091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2022-02-25T01:24:00Z</dcterms:created>
  <dc:creator>Administrator</dc:creator>
  <cp:lastModifiedBy>零点会计培训</cp:lastModifiedBy>
  <dcterms:modified xsi:type="dcterms:W3CDTF">2022-07-27T08:33:33Z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961C18DF38524941B331DAE856131883</vt:lpwstr>
  </property>
</Properties>
</file>