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85FA5"/>
          <w:sz w:val="44"/>
          <w:szCs w:val="44"/>
        </w:rPr>
        <w:t xml:space="preserve">PCA + Logistic Regression</w:t>
      </w:r>
    </w:p>
    <w:p>
      <w:pPr>
        <w:spacing w:after="200" w:before="0"/>
        <w:jc w:val="center"/>
      </w:pPr>
      <w:r>
        <w:rPr>
          <w:rFonts w:ascii="Arial" w:cs="Arial" w:eastAsia="Arial" w:hAnsi="Arial"/>
          <w:color w:val="2C2C2A"/>
          <w:sz w:val="24"/>
          <w:szCs w:val="24"/>
        </w:rPr>
        <w:t xml:space="preserve">How many principal components to keep, and how does model performance change?</w:t>
      </w:r>
    </w:p>
    <w:p>
      <w:pPr>
        <w:pBdr>
          <w:bottom w:val="single" w:color="993C1D" w:sz="6" w:space="6"/>
        </w:pBdr>
        <w:spacing w:after="600" w:before="0"/>
        <w:jc w:val="center"/>
      </w:pPr>
      <w:r>
        <w:rPr>
          <w:rFonts w:ascii="Arial" w:cs="Arial" w:eastAsia="Arial" w:hAnsi="Arial"/>
          <w:color w:val="5F5E5A"/>
          <w:sz w:val="21"/>
          <w:szCs w:val="21"/>
        </w:rPr>
        <w:t xml:space="preserve">Wisconsin Breast Cancer Diagnostic Dataset — 569 samples · 30 features · Binary target</w:t>
      </w:r>
    </w:p>
    <w:p>
      <w:pPr>
        <w:spacing w:after="0" w:before="400"/>
      </w:pPr>
      <w:r>
        <w:t xml:space="preserve"/>
      </w:r>
    </w:p>
    <w:p>
      <w:r>
        <w:br w:type="page"/>
      </w:r>
    </w:p>
    <w:p>
      <w:pPr>
        <w:pStyle w:val="Heading1"/>
        <w:spacing w:after="120" w:before="300"/>
      </w:pPr>
      <w:r>
        <w:rPr>
          <w:rFonts w:ascii="Arial" w:cs="Arial" w:eastAsia="Arial" w:hAnsi="Arial"/>
          <w:b/>
          <w:bCs/>
          <w:color w:val="185FA5"/>
          <w:sz w:val="30"/>
          <w:szCs w:val="30"/>
        </w:rPr>
        <w:t xml:space="preserve">1. Why apply PCA before Logistic Regression?</w:t>
      </w:r>
    </w:p>
    <w:p>
      <w:pPr>
        <w:spacing w:after="75" w:before="55"/>
      </w:pPr>
      <w:r>
        <w:rPr>
          <w:rFonts w:ascii="Arial" w:cs="Arial" w:eastAsia="Arial" w:hAnsi="Arial"/>
          <w:sz w:val="20"/>
          <w:szCs w:val="20"/>
        </w:rPr>
        <w:t xml:space="preserve">The Wisconsin Breast Cancer dataset contains 30 features derived from the same 10 nuclear characteristics (mean, SE, and worst values for each). This design deliberately creates high multicollinearity — radius, perimeter, and area, for example, are nearly perfectly correlated because perimeter ≈ 2π×radius and area ≈ π×radius².</w:t>
      </w:r>
    </w:p>
    <w:p>
      <w:pPr>
        <w:spacing w:after="0" w:before="60"/>
      </w:pPr>
      <w:r>
        <w:t xml:space="preserve"/>
      </w:r>
    </w:p>
    <w:p>
      <w:pPr>
        <w:spacing w:after="75" w:before="55"/>
      </w:pPr>
      <w:r>
        <w:rPr>
          <w:rFonts w:ascii="Arial" w:cs="Arial" w:eastAsia="Arial" w:hAnsi="Arial"/>
          <w:sz w:val="20"/>
          <w:szCs w:val="20"/>
        </w:rPr>
        <w:t xml:space="preserve">Logistic Regression assumes that predictors contribute independent information. When features are highly collinear, coefficient estimates become unstable and the model can overfit. PCA addresses this by transforming the original 30 correlated features into a smaller set of uncorrelated principal components, each capturing a distinct direction of variance.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Dimensionality reduction</w:t>
            </w:r>
          </w:p>
        </w:tc>
        <w:tc>
          <w:tcPr>
            <w:tcW w:type="dxa" w:w="3120"/>
            <w:tcBorders>
              <w:top w:val="single" w:color="0F6E56" w:sz="1"/>
              <w:left w:val="single" w:color="0F6E56" w:sz="1"/>
              <w:bottom w:val="single" w:color="0F6E56" w:sz="1"/>
              <w:right w:val="single" w:color="0F6E56" w:sz="1"/>
            </w:tcBorders>
            <w:shd w:fill="0F6E56"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Multicollinearity removed</w:t>
            </w:r>
          </w:p>
        </w:tc>
        <w:tc>
          <w:tcPr>
            <w:tcW w:type="dxa" w:w="3120"/>
            <w:tcBorders>
              <w:top w:val="single" w:color="993C1D" w:sz="1"/>
              <w:left w:val="single" w:color="993C1D" w:sz="1"/>
              <w:bottom w:val="single" w:color="993C1D" w:sz="1"/>
              <w:right w:val="single" w:color="993C1D" w:sz="1"/>
            </w:tcBorders>
            <w:shd w:fill="993C1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Noise suppression</w:t>
            </w:r>
          </w:p>
        </w:tc>
      </w:tr>
      <w:tr>
        <w:tc>
          <w:tcPr>
            <w:tcW w:type="dxa" w:w="3120"/>
            <w:tcBorders>
              <w:top w:val="single" w:color="CCCCCC" w:sz="1"/>
              <w:left w:val="single" w:color="CCCCCC" w:sz="1"/>
              <w:bottom w:val="single" w:color="CCCCCC" w:sz="1"/>
              <w:right w:val="single" w:color="CCCCCC" w:sz="1"/>
            </w:tcBorders>
            <w:shd w:fill="E6F1FB"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30 correlated features → k uncorrelated PCs, where k &lt;&lt; 30</w:t>
            </w:r>
          </w:p>
        </w:tc>
        <w:tc>
          <w:tcPr>
            <w:tcW w:type="dxa" w:w="312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PCs are orthogonal by construction — no two PCs share information</w:t>
            </w:r>
          </w:p>
        </w:tc>
        <w:tc>
          <w:tcPr>
            <w:tcW w:type="dxa" w:w="3120"/>
            <w:tcBorders>
              <w:top w:val="single" w:color="CCCCCC" w:sz="1"/>
              <w:left w:val="single" w:color="CCCCCC" w:sz="1"/>
              <w:bottom w:val="single" w:color="CCCCCC" w:sz="1"/>
              <w:right w:val="single" w:color="CCCCCC" w:sz="1"/>
            </w:tcBorders>
            <w:shd w:fill="FAECE7"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Minor PCs capture noise; dropping them can improve generalisation</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E6F1FB" w:val="clear"/>
            <w:tcMar>
              <w:top w:type="dxa" w:w="110"/>
              <w:left w:type="dxa" w:w="180"/>
              <w:bottom w:type="dxa" w:w="110"/>
              <w:right w:type="dxa" w:w="180"/>
            </w:tcMar>
          </w:tcPr>
          <w:p>
            <w:pPr>
              <w:spacing w:after="55" w:before="0"/>
            </w:pPr>
            <w:r>
              <w:rPr>
                <w:rFonts w:ascii="Arial" w:cs="Arial" w:eastAsia="Arial" w:hAnsi="Arial"/>
                <w:b/>
                <w:bCs/>
                <w:color w:val="185FA5"/>
                <w:sz w:val="19"/>
                <w:szCs w:val="19"/>
              </w:rPr>
              <w:t xml:space="preserve">Pipeline used throughout</w:t>
            </w:r>
          </w:p>
          <w:p>
            <w:pPr>
              <w:spacing w:after="0" w:before="0"/>
            </w:pPr>
            <w:r>
              <w:rPr>
                <w:rFonts w:ascii="Arial" w:cs="Arial" w:eastAsia="Arial" w:hAnsi="Arial"/>
                <w:sz w:val="19"/>
                <w:szCs w:val="19"/>
              </w:rPr>
              <w:t xml:space="preserve">StandardScaler → PCA(n) → LogisticRegression, evaluated with 10-fold stratified cross-validation. Standardisation is applied inside each fold to prevent data leakage.</w:t>
            </w:r>
          </w:p>
        </w:tc>
      </w:tr>
    </w:tbl>
    <w:p>
      <w:pPr>
        <w:spacing w:after="0" w:before="90"/>
      </w:pPr>
      <w:r>
        <w:t xml:space="preserve"/>
      </w:r>
    </w:p>
    <w:p>
      <w:pPr>
        <w:pStyle w:val="Heading1"/>
        <w:spacing w:after="120" w:before="300"/>
      </w:pPr>
      <w:r>
        <w:rPr>
          <w:rFonts w:ascii="Arial" w:cs="Arial" w:eastAsia="Arial" w:hAnsi="Arial"/>
          <w:b/>
          <w:bCs/>
          <w:color w:val="185FA5"/>
          <w:sz w:val="30"/>
          <w:szCs w:val="30"/>
        </w:rPr>
        <w:t xml:space="preserve">2. How much variance does each PC capture?</w:t>
      </w:r>
    </w:p>
    <w:p>
      <w:pPr>
        <w:pStyle w:val="Heading2"/>
        <w:spacing w:after="90" w:before="220"/>
      </w:pPr>
      <w:r>
        <w:rPr>
          <w:rFonts w:ascii="Arial" w:cs="Arial" w:eastAsia="Arial" w:hAnsi="Arial"/>
          <w:b/>
          <w:bCs/>
          <w:color w:val="0F6E56"/>
          <w:sz w:val="24"/>
          <w:szCs w:val="24"/>
        </w:rPr>
        <w:t xml:space="preserve">2.1 Eigenvalues and explained variance</w:t>
      </w:r>
    </w:p>
    <w:p>
      <w:pPr>
        <w:spacing w:after="75" w:before="55"/>
      </w:pPr>
      <w:r>
        <w:rPr>
          <w:rFonts w:ascii="Arial" w:cs="Arial" w:eastAsia="Arial" w:hAnsi="Arial"/>
          <w:sz w:val="20"/>
          <w:szCs w:val="20"/>
        </w:rPr>
        <w:t xml:space="preserve">After standardising the 30 features, PCA decomposes the covariance matrix into 30 eigenvalue–eigenvector pairs. The eigenvalue of each PC equals the variance it captures. Because the features were standardised, the total variance is 30 — so an eigenvalue of 1.0 means a PC captures as much variance as a single original feature.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1400"/>
        <w:gridCol w:w="1260"/>
        <w:gridCol w:w="1400"/>
        <w:gridCol w:w="1440"/>
        <w:gridCol w:w="1560"/>
        <w:gridCol w:w="1640"/>
      </w:tblGrid>
      <w:tr>
        <w:tc>
          <w:tcPr>
            <w:tcW w:type="dxa" w:w="66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PC</w:t>
            </w:r>
          </w:p>
        </w:tc>
        <w:tc>
          <w:tcPr>
            <w:tcW w:type="dxa" w:w="140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Eigenvalue</w:t>
            </w:r>
          </w:p>
        </w:tc>
        <w:tc>
          <w:tcPr>
            <w:tcW w:type="dxa" w:w="126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Var%</w:t>
            </w:r>
          </w:p>
        </w:tc>
        <w:tc>
          <w:tcPr>
            <w:tcW w:type="dxa" w:w="140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Cum%</w:t>
            </w:r>
          </w:p>
        </w:tc>
        <w:tc>
          <w:tcPr>
            <w:tcW w:type="dxa" w:w="144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vs 1.0</w:t>
            </w:r>
          </w:p>
        </w:tc>
        <w:tc>
          <w:tcPr>
            <w:tcW w:type="dxa" w:w="156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Kaiser?</w:t>
            </w:r>
          </w:p>
        </w:tc>
        <w:tc>
          <w:tcPr>
            <w:tcW w:type="dxa" w:w="164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
            </w:r>
          </w:p>
        </w:tc>
      </w:tr>
      <w:tr>
        <w:tc>
          <w:tcPr>
            <w:tcW w:type="dxa" w:w="6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PC01</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13.3050</w:t>
            </w:r>
          </w:p>
        </w:tc>
        <w:tc>
          <w:tcPr>
            <w:tcW w:type="dxa" w:w="12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44.27%</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44.27%</w:t>
            </w:r>
          </w:p>
        </w:tc>
        <w:tc>
          <w:tcPr>
            <w:tcW w:type="dxa" w:w="14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Courier New" w:cs="Courier New" w:eastAsia="Courier New" w:hAnsi="Courier New"/>
                <w:b w:val="false"/>
                <w:bCs w:val="false"/>
                <w:color w:val="0F6E56"/>
                <w:sz w:val="18"/>
                <w:szCs w:val="18"/>
              </w:rPr>
              <w:t xml:space="preserve">13.3 &gt; 1</w:t>
            </w:r>
          </w:p>
        </w:tc>
        <w:tc>
          <w:tcPr>
            <w:tcW w:type="dxa" w:w="15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Yes</w:t>
            </w:r>
          </w:p>
        </w:tc>
        <w:tc>
          <w:tcPr>
            <w:tcW w:type="dxa" w:w="16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PC02</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5.7014</w:t>
            </w:r>
          </w:p>
        </w:tc>
        <w:tc>
          <w:tcPr>
            <w:tcW w:type="dxa" w:w="12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18.97%</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63.24%</w:t>
            </w:r>
          </w:p>
        </w:tc>
        <w:tc>
          <w:tcPr>
            <w:tcW w:type="dxa" w:w="14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Courier New" w:cs="Courier New" w:eastAsia="Courier New" w:hAnsi="Courier New"/>
                <w:b w:val="false"/>
                <w:bCs w:val="false"/>
                <w:color w:val="0F6E56"/>
                <w:sz w:val="18"/>
                <w:szCs w:val="18"/>
              </w:rPr>
              <w:t xml:space="preserve">5.7 &gt; 1</w:t>
            </w:r>
          </w:p>
        </w:tc>
        <w:tc>
          <w:tcPr>
            <w:tcW w:type="dxa" w:w="15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Yes</w:t>
            </w:r>
          </w:p>
        </w:tc>
        <w:tc>
          <w:tcPr>
            <w:tcW w:type="dxa" w:w="16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PC03</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2.8229</w:t>
            </w:r>
          </w:p>
        </w:tc>
        <w:tc>
          <w:tcPr>
            <w:tcW w:type="dxa" w:w="12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9.39%</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72.64%</w:t>
            </w:r>
          </w:p>
        </w:tc>
        <w:tc>
          <w:tcPr>
            <w:tcW w:type="dxa" w:w="14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Courier New" w:cs="Courier New" w:eastAsia="Courier New" w:hAnsi="Courier New"/>
                <w:b w:val="false"/>
                <w:bCs w:val="false"/>
                <w:color w:val="0F6E56"/>
                <w:sz w:val="18"/>
                <w:szCs w:val="18"/>
              </w:rPr>
              <w:t xml:space="preserve">2.8 &gt; 1</w:t>
            </w:r>
          </w:p>
        </w:tc>
        <w:tc>
          <w:tcPr>
            <w:tcW w:type="dxa" w:w="15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Yes</w:t>
            </w:r>
          </w:p>
        </w:tc>
        <w:tc>
          <w:tcPr>
            <w:tcW w:type="dxa" w:w="16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PC04</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1.9841</w:t>
            </w:r>
          </w:p>
        </w:tc>
        <w:tc>
          <w:tcPr>
            <w:tcW w:type="dxa" w:w="12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6.60%</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79.24%</w:t>
            </w:r>
          </w:p>
        </w:tc>
        <w:tc>
          <w:tcPr>
            <w:tcW w:type="dxa" w:w="14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Courier New" w:cs="Courier New" w:eastAsia="Courier New" w:hAnsi="Courier New"/>
                <w:b w:val="false"/>
                <w:bCs w:val="false"/>
                <w:color w:val="0F6E56"/>
                <w:sz w:val="18"/>
                <w:szCs w:val="18"/>
              </w:rPr>
              <w:t xml:space="preserve">2.0 &gt; 1</w:t>
            </w:r>
          </w:p>
        </w:tc>
        <w:tc>
          <w:tcPr>
            <w:tcW w:type="dxa" w:w="15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Yes</w:t>
            </w:r>
          </w:p>
        </w:tc>
        <w:tc>
          <w:tcPr>
            <w:tcW w:type="dxa" w:w="16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PC05</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1.6516</w:t>
            </w:r>
          </w:p>
        </w:tc>
        <w:tc>
          <w:tcPr>
            <w:tcW w:type="dxa" w:w="12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5.50%</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84.73%</w:t>
            </w:r>
          </w:p>
        </w:tc>
        <w:tc>
          <w:tcPr>
            <w:tcW w:type="dxa" w:w="14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Courier New" w:cs="Courier New" w:eastAsia="Courier New" w:hAnsi="Courier New"/>
                <w:b w:val="false"/>
                <w:bCs w:val="false"/>
                <w:color w:val="0F6E56"/>
                <w:sz w:val="18"/>
                <w:szCs w:val="18"/>
              </w:rPr>
              <w:t xml:space="preserve">1.7 &gt; 1</w:t>
            </w:r>
          </w:p>
        </w:tc>
        <w:tc>
          <w:tcPr>
            <w:tcW w:type="dxa" w:w="15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Yes</w:t>
            </w:r>
          </w:p>
        </w:tc>
        <w:tc>
          <w:tcPr>
            <w:tcW w:type="dxa" w:w="16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PC06</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1.2095</w:t>
            </w:r>
          </w:p>
        </w:tc>
        <w:tc>
          <w:tcPr>
            <w:tcW w:type="dxa" w:w="12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4.02%</w:t>
            </w:r>
          </w:p>
        </w:tc>
        <w:tc>
          <w:tcPr>
            <w:tcW w:type="dxa" w:w="1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88.76%</w:t>
            </w:r>
          </w:p>
        </w:tc>
        <w:tc>
          <w:tcPr>
            <w:tcW w:type="dxa" w:w="14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Courier New" w:cs="Courier New" w:eastAsia="Courier New" w:hAnsi="Courier New"/>
                <w:b w:val="false"/>
                <w:bCs w:val="false"/>
                <w:color w:val="0F6E56"/>
                <w:sz w:val="18"/>
                <w:szCs w:val="18"/>
              </w:rPr>
              <w:t xml:space="preserve">1.2 &gt; 1</w:t>
            </w:r>
          </w:p>
        </w:tc>
        <w:tc>
          <w:tcPr>
            <w:tcW w:type="dxa" w:w="15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Yes</w:t>
            </w:r>
          </w:p>
        </w:tc>
        <w:tc>
          <w:tcPr>
            <w:tcW w:type="dxa" w:w="16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last Kaiser PC</w:t>
            </w:r>
          </w:p>
        </w:tc>
      </w:tr>
      <w:tr>
        <w:tc>
          <w:tcPr>
            <w:tcW w:type="dxa" w:w="6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2C2C2A"/>
                <w:sz w:val="18"/>
                <w:szCs w:val="18"/>
              </w:rPr>
              <w:t xml:space="preserve">PC07</w:t>
            </w:r>
          </w:p>
        </w:tc>
        <w:tc>
          <w:tcPr>
            <w:tcW w:type="dxa" w:w="1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0.6764</w:t>
            </w:r>
          </w:p>
        </w:tc>
        <w:tc>
          <w:tcPr>
            <w:tcW w:type="dxa" w:w="12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2.25%</w:t>
            </w:r>
          </w:p>
        </w:tc>
        <w:tc>
          <w:tcPr>
            <w:tcW w:type="dxa" w:w="1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91.01%</w:t>
            </w:r>
          </w:p>
        </w:tc>
        <w:tc>
          <w:tcPr>
            <w:tcW w:type="dxa" w:w="14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Courier New" w:cs="Courier New" w:eastAsia="Courier New" w:hAnsi="Courier New"/>
                <w:b w:val="false"/>
                <w:bCs w:val="false"/>
                <w:color w:val="993C1D"/>
                <w:sz w:val="18"/>
                <w:szCs w:val="18"/>
              </w:rPr>
              <w:t xml:space="preserve">0.68 &lt; 1</w:t>
            </w:r>
          </w:p>
        </w:tc>
        <w:tc>
          <w:tcPr>
            <w:tcW w:type="dxa" w:w="1560"/>
            <w:tcBorders>
              <w:top w:val="single" w:color="CCCCCC" w:sz="1"/>
              <w:left w:val="single" w:color="CCCCCC" w:sz="1"/>
              <w:bottom w:val="single" w:color="CCCCCC" w:sz="1"/>
              <w:right w:val="single" w:color="CCCCCC" w:sz="1"/>
            </w:tcBorders>
            <w:shd w:fill="FAECE7" w:val="clear"/>
            <w:tcMar>
              <w:top w:type="dxa" w:w="65"/>
              <w:left w:type="dxa" w:w="110"/>
              <w:bottom w:type="dxa" w:w="65"/>
              <w:right w:type="dxa" w:w="110"/>
            </w:tcMar>
          </w:tcPr>
          <w:p>
            <w:pPr>
              <w:jc w:val="center"/>
            </w:pPr>
            <w:r>
              <w:rPr>
                <w:rFonts w:ascii="Arial" w:cs="Arial" w:eastAsia="Arial" w:hAnsi="Arial"/>
                <w:b/>
                <w:bCs/>
                <w:color w:val="993C1D"/>
                <w:sz w:val="18"/>
                <w:szCs w:val="18"/>
              </w:rPr>
              <w:t xml:space="preserve">No</w:t>
            </w:r>
          </w:p>
        </w:tc>
        <w:tc>
          <w:tcPr>
            <w:tcW w:type="dxa" w:w="16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2C2C2A"/>
                <w:sz w:val="18"/>
                <w:szCs w:val="18"/>
              </w:rPr>
              <w:t xml:space="preserve">PC08</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0.4775</w:t>
            </w:r>
          </w:p>
        </w:tc>
        <w:tc>
          <w:tcPr>
            <w:tcW w:type="dxa" w:w="12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1.59%</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92.60%</w:t>
            </w:r>
          </w:p>
        </w:tc>
        <w:tc>
          <w:tcPr>
            <w:tcW w:type="dxa" w:w="14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Courier New" w:cs="Courier New" w:eastAsia="Courier New" w:hAnsi="Courier New"/>
                <w:b w:val="false"/>
                <w:bCs w:val="false"/>
                <w:color w:val="993C1D"/>
                <w:sz w:val="18"/>
                <w:szCs w:val="18"/>
              </w:rPr>
              <w:t xml:space="preserve">0.48 &lt; 1</w:t>
            </w:r>
          </w:p>
        </w:tc>
        <w:tc>
          <w:tcPr>
            <w:tcW w:type="dxa" w:w="1560"/>
            <w:tcBorders>
              <w:top w:val="single" w:color="CCCCCC" w:sz="1"/>
              <w:left w:val="single" w:color="CCCCCC" w:sz="1"/>
              <w:bottom w:val="single" w:color="CCCCCC" w:sz="1"/>
              <w:right w:val="single" w:color="CCCCCC" w:sz="1"/>
            </w:tcBorders>
            <w:shd w:fill="FAECE7" w:val="clear"/>
            <w:tcMar>
              <w:top w:type="dxa" w:w="65"/>
              <w:left w:type="dxa" w:w="110"/>
              <w:bottom w:type="dxa" w:w="65"/>
              <w:right w:type="dxa" w:w="110"/>
            </w:tcMar>
          </w:tcPr>
          <w:p>
            <w:pPr>
              <w:jc w:val="center"/>
            </w:pPr>
            <w:r>
              <w:rPr>
                <w:rFonts w:ascii="Arial" w:cs="Arial" w:eastAsia="Arial" w:hAnsi="Arial"/>
                <w:b/>
                <w:bCs/>
                <w:color w:val="993C1D"/>
                <w:sz w:val="18"/>
                <w:szCs w:val="18"/>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2C2C2A"/>
                <w:sz w:val="18"/>
                <w:szCs w:val="18"/>
              </w:rPr>
              <w:t xml:space="preserve">PC09</w:t>
            </w:r>
          </w:p>
        </w:tc>
        <w:tc>
          <w:tcPr>
            <w:tcW w:type="dxa" w:w="1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0.4176</w:t>
            </w:r>
          </w:p>
        </w:tc>
        <w:tc>
          <w:tcPr>
            <w:tcW w:type="dxa" w:w="12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1.39%</w:t>
            </w:r>
          </w:p>
        </w:tc>
        <w:tc>
          <w:tcPr>
            <w:tcW w:type="dxa" w:w="1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93.99%</w:t>
            </w:r>
          </w:p>
        </w:tc>
        <w:tc>
          <w:tcPr>
            <w:tcW w:type="dxa" w:w="14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Courier New" w:cs="Courier New" w:eastAsia="Courier New" w:hAnsi="Courier New"/>
                <w:b w:val="false"/>
                <w:bCs w:val="false"/>
                <w:color w:val="993C1D"/>
                <w:sz w:val="18"/>
                <w:szCs w:val="18"/>
              </w:rPr>
              <w:t xml:space="preserve">0.42 &lt; 1</w:t>
            </w:r>
          </w:p>
        </w:tc>
        <w:tc>
          <w:tcPr>
            <w:tcW w:type="dxa" w:w="1560"/>
            <w:tcBorders>
              <w:top w:val="single" w:color="CCCCCC" w:sz="1"/>
              <w:left w:val="single" w:color="CCCCCC" w:sz="1"/>
              <w:bottom w:val="single" w:color="CCCCCC" w:sz="1"/>
              <w:right w:val="single" w:color="CCCCCC" w:sz="1"/>
            </w:tcBorders>
            <w:shd w:fill="FAECE7" w:val="clear"/>
            <w:tcMar>
              <w:top w:type="dxa" w:w="65"/>
              <w:left w:type="dxa" w:w="110"/>
              <w:bottom w:type="dxa" w:w="65"/>
              <w:right w:type="dxa" w:w="110"/>
            </w:tcMar>
          </w:tcPr>
          <w:p>
            <w:pPr>
              <w:jc w:val="center"/>
            </w:pPr>
            <w:r>
              <w:rPr>
                <w:rFonts w:ascii="Arial" w:cs="Arial" w:eastAsia="Arial" w:hAnsi="Arial"/>
                <w:b/>
                <w:bCs/>
                <w:color w:val="993C1D"/>
                <w:sz w:val="18"/>
                <w:szCs w:val="18"/>
              </w:rPr>
              <w:t xml:space="preserve">No</w:t>
            </w:r>
          </w:p>
        </w:tc>
        <w:tc>
          <w:tcPr>
            <w:tcW w:type="dxa" w:w="16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2C2C2A"/>
                <w:sz w:val="18"/>
                <w:szCs w:val="18"/>
              </w:rPr>
              <w:t xml:space="preserve">PC10</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0.3513</w:t>
            </w:r>
          </w:p>
        </w:tc>
        <w:tc>
          <w:tcPr>
            <w:tcW w:type="dxa" w:w="12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1.17%</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F6E56"/>
                <w:sz w:val="18"/>
                <w:szCs w:val="18"/>
              </w:rPr>
              <w:t xml:space="preserve">95.16%</w:t>
            </w:r>
          </w:p>
        </w:tc>
        <w:tc>
          <w:tcPr>
            <w:tcW w:type="dxa" w:w="14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Courier New" w:cs="Courier New" w:eastAsia="Courier New" w:hAnsi="Courier New"/>
                <w:b w:val="false"/>
                <w:bCs w:val="false"/>
                <w:color w:val="993C1D"/>
                <w:sz w:val="18"/>
                <w:szCs w:val="18"/>
              </w:rPr>
              <w:t xml:space="preserve">0.35 &lt; 1</w:t>
            </w:r>
          </w:p>
        </w:tc>
        <w:tc>
          <w:tcPr>
            <w:tcW w:type="dxa" w:w="1560"/>
            <w:tcBorders>
              <w:top w:val="single" w:color="CCCCCC" w:sz="1"/>
              <w:left w:val="single" w:color="CCCCCC" w:sz="1"/>
              <w:bottom w:val="single" w:color="CCCCCC" w:sz="1"/>
              <w:right w:val="single" w:color="CCCCCC" w:sz="1"/>
            </w:tcBorders>
            <w:shd w:fill="FAECE7" w:val="clear"/>
            <w:tcMar>
              <w:top w:type="dxa" w:w="65"/>
              <w:left w:type="dxa" w:w="110"/>
              <w:bottom w:type="dxa" w:w="65"/>
              <w:right w:type="dxa" w:w="110"/>
            </w:tcMar>
          </w:tcPr>
          <w:p>
            <w:pPr>
              <w:jc w:val="center"/>
            </w:pPr>
            <w:r>
              <w:rPr>
                <w:rFonts w:ascii="Arial" w:cs="Arial" w:eastAsia="Arial" w:hAnsi="Arial"/>
                <w:b/>
                <w:bCs/>
                <w:color w:val="993C1D"/>
                <w:sz w:val="18"/>
                <w:szCs w:val="18"/>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95% threshold</w:t>
            </w:r>
          </w:p>
        </w:tc>
      </w:tr>
      <w:tr>
        <w:tc>
          <w:tcPr>
            <w:tcW w:type="dxa" w:w="6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2C2C2A"/>
                <w:sz w:val="18"/>
                <w:szCs w:val="18"/>
              </w:rPr>
              <w:t xml:space="preserve">PC11</w:t>
            </w:r>
          </w:p>
        </w:tc>
        <w:tc>
          <w:tcPr>
            <w:tcW w:type="dxa" w:w="1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0.2944</w:t>
            </w:r>
          </w:p>
        </w:tc>
        <w:tc>
          <w:tcPr>
            <w:tcW w:type="dxa" w:w="12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0.98%</w:t>
            </w:r>
          </w:p>
        </w:tc>
        <w:tc>
          <w:tcPr>
            <w:tcW w:type="dxa" w:w="1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F6E56"/>
                <w:sz w:val="18"/>
                <w:szCs w:val="18"/>
              </w:rPr>
              <w:t xml:space="preserve">96.14%</w:t>
            </w:r>
          </w:p>
        </w:tc>
        <w:tc>
          <w:tcPr>
            <w:tcW w:type="dxa" w:w="14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Courier New" w:cs="Courier New" w:eastAsia="Courier New" w:hAnsi="Courier New"/>
                <w:b w:val="false"/>
                <w:bCs w:val="false"/>
                <w:color w:val="993C1D"/>
                <w:sz w:val="18"/>
                <w:szCs w:val="18"/>
              </w:rPr>
              <w:t xml:space="preserve">0.29 &lt; 1</w:t>
            </w:r>
          </w:p>
        </w:tc>
        <w:tc>
          <w:tcPr>
            <w:tcW w:type="dxa" w:w="1560"/>
            <w:tcBorders>
              <w:top w:val="single" w:color="CCCCCC" w:sz="1"/>
              <w:left w:val="single" w:color="CCCCCC" w:sz="1"/>
              <w:bottom w:val="single" w:color="CCCCCC" w:sz="1"/>
              <w:right w:val="single" w:color="CCCCCC" w:sz="1"/>
            </w:tcBorders>
            <w:shd w:fill="FAECE7" w:val="clear"/>
            <w:tcMar>
              <w:top w:type="dxa" w:w="65"/>
              <w:left w:type="dxa" w:w="110"/>
              <w:bottom w:type="dxa" w:w="65"/>
              <w:right w:type="dxa" w:w="110"/>
            </w:tcMar>
          </w:tcPr>
          <w:p>
            <w:pPr>
              <w:jc w:val="center"/>
            </w:pPr>
            <w:r>
              <w:rPr>
                <w:rFonts w:ascii="Arial" w:cs="Arial" w:eastAsia="Arial" w:hAnsi="Arial"/>
                <w:b/>
                <w:bCs/>
                <w:color w:val="993C1D"/>
                <w:sz w:val="18"/>
                <w:szCs w:val="18"/>
              </w:rPr>
              <w:t xml:space="preserve">No</w:t>
            </w:r>
          </w:p>
        </w:tc>
        <w:tc>
          <w:tcPr>
            <w:tcW w:type="dxa" w:w="16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2C2C2A"/>
                <w:sz w:val="18"/>
                <w:szCs w:val="18"/>
              </w:rPr>
              <w:t xml:space="preserve">PC12</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0.2616</w:t>
            </w:r>
          </w:p>
        </w:tc>
        <w:tc>
          <w:tcPr>
            <w:tcW w:type="dxa" w:w="12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0.87%</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F6E56"/>
                <w:sz w:val="18"/>
                <w:szCs w:val="18"/>
              </w:rPr>
              <w:t xml:space="preserve">97.01%</w:t>
            </w:r>
          </w:p>
        </w:tc>
        <w:tc>
          <w:tcPr>
            <w:tcW w:type="dxa" w:w="14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Courier New" w:cs="Courier New" w:eastAsia="Courier New" w:hAnsi="Courier New"/>
                <w:b w:val="false"/>
                <w:bCs w:val="false"/>
                <w:color w:val="993C1D"/>
                <w:sz w:val="18"/>
                <w:szCs w:val="18"/>
              </w:rPr>
              <w:t xml:space="preserve">0.26 &lt; 1</w:t>
            </w:r>
          </w:p>
        </w:tc>
        <w:tc>
          <w:tcPr>
            <w:tcW w:type="dxa" w:w="1560"/>
            <w:tcBorders>
              <w:top w:val="single" w:color="CCCCCC" w:sz="1"/>
              <w:left w:val="single" w:color="CCCCCC" w:sz="1"/>
              <w:bottom w:val="single" w:color="CCCCCC" w:sz="1"/>
              <w:right w:val="single" w:color="CCCCCC" w:sz="1"/>
            </w:tcBorders>
            <w:shd w:fill="FAECE7" w:val="clear"/>
            <w:tcMar>
              <w:top w:type="dxa" w:w="65"/>
              <w:left w:type="dxa" w:w="110"/>
              <w:bottom w:type="dxa" w:w="65"/>
              <w:right w:type="dxa" w:w="110"/>
            </w:tcMar>
          </w:tcPr>
          <w:p>
            <w:pPr>
              <w:jc w:val="center"/>
            </w:pPr>
            <w:r>
              <w:rPr>
                <w:rFonts w:ascii="Arial" w:cs="Arial" w:eastAsia="Arial" w:hAnsi="Arial"/>
                <w:b/>
                <w:bCs/>
                <w:color w:val="993C1D"/>
                <w:sz w:val="18"/>
                <w:szCs w:val="18"/>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2C2C2A"/>
                <w:sz w:val="18"/>
                <w:szCs w:val="18"/>
              </w:rPr>
              <w:t xml:space="preserve">PC13</w:t>
            </w:r>
          </w:p>
        </w:tc>
        <w:tc>
          <w:tcPr>
            <w:tcW w:type="dxa" w:w="1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0.2418</w:t>
            </w:r>
          </w:p>
        </w:tc>
        <w:tc>
          <w:tcPr>
            <w:tcW w:type="dxa" w:w="12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0.80%</w:t>
            </w:r>
          </w:p>
        </w:tc>
        <w:tc>
          <w:tcPr>
            <w:tcW w:type="dxa" w:w="1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F6E56"/>
                <w:sz w:val="18"/>
                <w:szCs w:val="18"/>
              </w:rPr>
              <w:t xml:space="preserve">97.81%</w:t>
            </w:r>
          </w:p>
        </w:tc>
        <w:tc>
          <w:tcPr>
            <w:tcW w:type="dxa" w:w="14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Courier New" w:cs="Courier New" w:eastAsia="Courier New" w:hAnsi="Courier New"/>
                <w:b w:val="false"/>
                <w:bCs w:val="false"/>
                <w:color w:val="993C1D"/>
                <w:sz w:val="18"/>
                <w:szCs w:val="18"/>
              </w:rPr>
              <w:t xml:space="preserve">0.24 &lt; 1</w:t>
            </w:r>
          </w:p>
        </w:tc>
        <w:tc>
          <w:tcPr>
            <w:tcW w:type="dxa" w:w="1560"/>
            <w:tcBorders>
              <w:top w:val="single" w:color="CCCCCC" w:sz="1"/>
              <w:left w:val="single" w:color="CCCCCC" w:sz="1"/>
              <w:bottom w:val="single" w:color="CCCCCC" w:sz="1"/>
              <w:right w:val="single" w:color="CCCCCC" w:sz="1"/>
            </w:tcBorders>
            <w:shd w:fill="FAECE7" w:val="clear"/>
            <w:tcMar>
              <w:top w:type="dxa" w:w="65"/>
              <w:left w:type="dxa" w:w="110"/>
              <w:bottom w:type="dxa" w:w="65"/>
              <w:right w:type="dxa" w:w="110"/>
            </w:tcMar>
          </w:tcPr>
          <w:p>
            <w:pPr>
              <w:jc w:val="center"/>
            </w:pPr>
            <w:r>
              <w:rPr>
                <w:rFonts w:ascii="Arial" w:cs="Arial" w:eastAsia="Arial" w:hAnsi="Arial"/>
                <w:b/>
                <w:bCs/>
                <w:color w:val="993C1D"/>
                <w:sz w:val="18"/>
                <w:szCs w:val="18"/>
              </w:rPr>
              <w:t xml:space="preserve">No</w:t>
            </w:r>
          </w:p>
        </w:tc>
        <w:tc>
          <w:tcPr>
            <w:tcW w:type="dxa" w:w="16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2C2C2A"/>
                <w:sz w:val="18"/>
                <w:szCs w:val="18"/>
              </w:rPr>
              <w:t xml:space="preserve">PC14</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0.1573</w:t>
            </w:r>
          </w:p>
        </w:tc>
        <w:tc>
          <w:tcPr>
            <w:tcW w:type="dxa" w:w="12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0.52%</w:t>
            </w:r>
          </w:p>
        </w:tc>
        <w:tc>
          <w:tcPr>
            <w:tcW w:type="dxa" w:w="1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F6E56"/>
                <w:sz w:val="18"/>
                <w:szCs w:val="18"/>
              </w:rPr>
              <w:t xml:space="preserve">98.34%</w:t>
            </w:r>
          </w:p>
        </w:tc>
        <w:tc>
          <w:tcPr>
            <w:tcW w:type="dxa" w:w="14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Courier New" w:cs="Courier New" w:eastAsia="Courier New" w:hAnsi="Courier New"/>
                <w:b w:val="false"/>
                <w:bCs w:val="false"/>
                <w:color w:val="993C1D"/>
                <w:sz w:val="18"/>
                <w:szCs w:val="18"/>
              </w:rPr>
              <w:t xml:space="preserve">0.16 &lt; 1</w:t>
            </w:r>
          </w:p>
        </w:tc>
        <w:tc>
          <w:tcPr>
            <w:tcW w:type="dxa" w:w="1560"/>
            <w:tcBorders>
              <w:top w:val="single" w:color="CCCCCC" w:sz="1"/>
              <w:left w:val="single" w:color="CCCCCC" w:sz="1"/>
              <w:bottom w:val="single" w:color="CCCCCC" w:sz="1"/>
              <w:right w:val="single" w:color="CCCCCC" w:sz="1"/>
            </w:tcBorders>
            <w:shd w:fill="FAECE7" w:val="clear"/>
            <w:tcMar>
              <w:top w:type="dxa" w:w="65"/>
              <w:left w:type="dxa" w:w="110"/>
              <w:bottom w:type="dxa" w:w="65"/>
              <w:right w:type="dxa" w:w="110"/>
            </w:tcMar>
          </w:tcPr>
          <w:p>
            <w:pPr>
              <w:jc w:val="center"/>
            </w:pPr>
            <w:r>
              <w:rPr>
                <w:rFonts w:ascii="Arial" w:cs="Arial" w:eastAsia="Arial" w:hAnsi="Arial"/>
                <w:b/>
                <w:bCs/>
                <w:color w:val="993C1D"/>
                <w:sz w:val="18"/>
                <w:szCs w:val="18"/>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r>
        <w:tc>
          <w:tcPr>
            <w:tcW w:type="dxa" w:w="6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2C2C2A"/>
                <w:sz w:val="18"/>
                <w:szCs w:val="18"/>
              </w:rPr>
              <w:t xml:space="preserve">PC15</w:t>
            </w:r>
          </w:p>
        </w:tc>
        <w:tc>
          <w:tcPr>
            <w:tcW w:type="dxa" w:w="1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0.0943</w:t>
            </w:r>
          </w:p>
        </w:tc>
        <w:tc>
          <w:tcPr>
            <w:tcW w:type="dxa" w:w="12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0.31%</w:t>
            </w:r>
          </w:p>
        </w:tc>
        <w:tc>
          <w:tcPr>
            <w:tcW w:type="dxa" w:w="1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F6E56"/>
                <w:sz w:val="18"/>
                <w:szCs w:val="18"/>
              </w:rPr>
              <w:t xml:space="preserve">98.65%</w:t>
            </w:r>
          </w:p>
        </w:tc>
        <w:tc>
          <w:tcPr>
            <w:tcW w:type="dxa" w:w="14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Courier New" w:cs="Courier New" w:eastAsia="Courier New" w:hAnsi="Courier New"/>
                <w:b w:val="false"/>
                <w:bCs w:val="false"/>
                <w:color w:val="993C1D"/>
                <w:sz w:val="18"/>
                <w:szCs w:val="18"/>
              </w:rPr>
              <w:t xml:space="preserve">0.09 &lt; 1</w:t>
            </w:r>
          </w:p>
        </w:tc>
        <w:tc>
          <w:tcPr>
            <w:tcW w:type="dxa" w:w="1560"/>
            <w:tcBorders>
              <w:top w:val="single" w:color="CCCCCC" w:sz="1"/>
              <w:left w:val="single" w:color="CCCCCC" w:sz="1"/>
              <w:bottom w:val="single" w:color="CCCCCC" w:sz="1"/>
              <w:right w:val="single" w:color="CCCCCC" w:sz="1"/>
            </w:tcBorders>
            <w:shd w:fill="FAECE7" w:val="clear"/>
            <w:tcMar>
              <w:top w:type="dxa" w:w="65"/>
              <w:left w:type="dxa" w:w="110"/>
              <w:bottom w:type="dxa" w:w="65"/>
              <w:right w:type="dxa" w:w="110"/>
            </w:tcMar>
          </w:tcPr>
          <w:p>
            <w:pPr>
              <w:jc w:val="center"/>
            </w:pPr>
            <w:r>
              <w:rPr>
                <w:rFonts w:ascii="Arial" w:cs="Arial" w:eastAsia="Arial" w:hAnsi="Arial"/>
                <w:b/>
                <w:bCs/>
                <w:color w:val="993C1D"/>
                <w:sz w:val="18"/>
                <w:szCs w:val="18"/>
              </w:rPr>
              <w:t xml:space="preserve">No</w:t>
            </w:r>
          </w:p>
        </w:tc>
        <w:tc>
          <w:tcPr>
            <w:tcW w:type="dxa" w:w="16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888780"/>
                <w:sz w:val="18"/>
                <w:szCs w:val="18"/>
              </w:rPr>
              <w:t xml:space="preserve"/>
            </w:r>
          </w:p>
        </w:tc>
      </w:tr>
    </w:tbl>
    <w:p>
      <w:pPr>
        <w:spacing w:after="0" w:before="80"/>
      </w:pPr>
      <w:r>
        <w:t xml:space="preserve"/>
      </w:r>
    </w:p>
    <w:p>
      <w:pPr>
        <w:pStyle w:val="Heading2"/>
        <w:spacing w:after="90" w:before="220"/>
      </w:pPr>
      <w:r>
        <w:rPr>
          <w:rFonts w:ascii="Arial" w:cs="Arial" w:eastAsia="Arial" w:hAnsi="Arial"/>
          <w:b/>
          <w:bCs/>
          <w:color w:val="0F6E56"/>
          <w:sz w:val="24"/>
          <w:szCs w:val="24"/>
        </w:rPr>
        <w:t xml:space="preserve">2.2 How many PCs to keep — decision rules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560"/>
        <w:gridCol w:w="2400"/>
      </w:tblGrid>
      <w:tr>
        <w:tc>
          <w:tcPr>
            <w:tcW w:type="dxa" w:w="220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Criterion</w:t>
            </w:r>
          </w:p>
        </w:tc>
        <w:tc>
          <w:tcPr>
            <w:tcW w:type="dxa" w:w="160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PCs kept</w:t>
            </w:r>
          </w:p>
        </w:tc>
        <w:tc>
          <w:tcPr>
            <w:tcW w:type="dxa" w:w="160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Cum. variance</w:t>
            </w:r>
          </w:p>
        </w:tc>
        <w:tc>
          <w:tcPr>
            <w:tcW w:type="dxa" w:w="156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Recommended?</w:t>
            </w:r>
          </w:p>
        </w:tc>
        <w:tc>
          <w:tcPr>
            <w:tcW w:type="dxa" w:w="240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Comment</w:t>
            </w:r>
          </w:p>
        </w:tc>
      </w:tr>
      <w:tr>
        <w:tc>
          <w:tcPr>
            <w:tcW w:type="dxa" w:w="22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Kaiser (eigenvalue &gt; 1)</w:t>
            </w:r>
          </w:p>
        </w:tc>
        <w:tc>
          <w:tcPr>
            <w:tcW w:type="dxa" w:w="16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6</w:t>
            </w:r>
          </w:p>
        </w:tc>
        <w:tc>
          <w:tcPr>
            <w:tcW w:type="dxa" w:w="16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88.8%</w:t>
            </w:r>
          </w:p>
        </w:tc>
        <w:tc>
          <w:tcPr>
            <w:tcW w:type="dxa" w:w="15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Good starting point</w:t>
            </w:r>
          </w:p>
        </w:tc>
        <w:tc>
          <w:tcPr>
            <w:tcW w:type="dxa" w:w="2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Theoretical grounding; widely taught</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80% variance threshold</w:t>
            </w:r>
          </w:p>
        </w:tc>
        <w:tc>
          <w:tcPr>
            <w:tcW w:type="dxa" w:w="1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84.7%</w:t>
            </w:r>
          </w:p>
        </w:tc>
        <w:tc>
          <w:tcPr>
            <w:tcW w:type="dxa" w:w="1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Minimal</w:t>
            </w:r>
          </w:p>
        </w:tc>
        <w:tc>
          <w:tcPr>
            <w:tcW w:type="dxa" w:w="2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May lose important signal</w:t>
            </w:r>
          </w:p>
        </w:tc>
      </w:tr>
      <w:tr>
        <w:tc>
          <w:tcPr>
            <w:tcW w:type="dxa" w:w="22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90% variance threshold</w:t>
            </w:r>
          </w:p>
        </w:tc>
        <w:tc>
          <w:tcPr>
            <w:tcW w:type="dxa" w:w="16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7</w:t>
            </w:r>
          </w:p>
        </w:tc>
        <w:tc>
          <w:tcPr>
            <w:tcW w:type="dxa" w:w="16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91.0%</w:t>
            </w:r>
          </w:p>
        </w:tc>
        <w:tc>
          <w:tcPr>
            <w:tcW w:type="dxa" w:w="15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Acceptable</w:t>
            </w:r>
          </w:p>
        </w:tc>
        <w:tc>
          <w:tcPr>
            <w:tcW w:type="dxa" w:w="2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Practical for large datasets</w:t>
            </w:r>
          </w:p>
        </w:tc>
      </w:tr>
      <w:tr>
        <w:tc>
          <w:tcPr>
            <w:tcW w:type="dxa" w:w="22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bCs/>
                <w:color w:val="000000"/>
                <w:sz w:val="18"/>
                <w:szCs w:val="18"/>
              </w:rPr>
              <w:t xml:space="preserve">95% variance threshold</w:t>
            </w:r>
          </w:p>
        </w:tc>
        <w:tc>
          <w:tcPr>
            <w:tcW w:type="dxa" w:w="16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10</w:t>
            </w:r>
          </w:p>
        </w:tc>
        <w:tc>
          <w:tcPr>
            <w:tcW w:type="dxa" w:w="16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95.2%</w:t>
            </w:r>
          </w:p>
        </w:tc>
        <w:tc>
          <w:tcPr>
            <w:tcW w:type="dxa" w:w="15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Recommended</w:t>
            </w:r>
          </w:p>
        </w:tc>
        <w:tc>
          <w:tcPr>
            <w:tcW w:type="dxa" w:w="24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Matches full-feature AUC</w:t>
            </w:r>
          </w:p>
        </w:tc>
      </w:tr>
      <w:tr>
        <w:tc>
          <w:tcPr>
            <w:tcW w:type="dxa" w:w="22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99% variance threshold</w:t>
            </w:r>
          </w:p>
        </w:tc>
        <w:tc>
          <w:tcPr>
            <w:tcW w:type="dxa" w:w="16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17</w:t>
            </w:r>
          </w:p>
        </w:tc>
        <w:tc>
          <w:tcPr>
            <w:tcW w:type="dxa" w:w="16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99.1%</w:t>
            </w:r>
          </w:p>
        </w:tc>
        <w:tc>
          <w:tcPr>
            <w:tcW w:type="dxa" w:w="15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Diminishing returns</w:t>
            </w:r>
          </w:p>
        </w:tc>
        <w:tc>
          <w:tcPr>
            <w:tcW w:type="dxa" w:w="24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Adds noise-dominated PCs</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All 30 features</w:t>
            </w:r>
          </w:p>
        </w:tc>
        <w:tc>
          <w:tcPr>
            <w:tcW w:type="dxa" w:w="1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Baseline</w:t>
            </w:r>
          </w:p>
        </w:tc>
        <w:tc>
          <w:tcPr>
            <w:tcW w:type="dxa" w:w="2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No dimensionality reduction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8"/>
              <w:bottom w:val="single" w:color="0F6E56" w:sz="1"/>
              <w:right w:val="single" w:color="0F6E56" w:sz="1"/>
            </w:tcBorders>
            <w:shd w:fill="E1F5EE" w:val="clear"/>
            <w:tcMar>
              <w:top w:type="dxa" w:w="110"/>
              <w:left w:type="dxa" w:w="180"/>
              <w:bottom w:type="dxa" w:w="110"/>
              <w:right w:type="dxa" w:w="180"/>
            </w:tcMar>
          </w:tcPr>
          <w:p>
            <w:pPr>
              <w:spacing w:after="55" w:before="0"/>
            </w:pPr>
            <w:r>
              <w:rPr>
                <w:rFonts w:ascii="Arial" w:cs="Arial" w:eastAsia="Arial" w:hAnsi="Arial"/>
                <w:b/>
                <w:bCs/>
                <w:color w:val="0F6E56"/>
                <w:sz w:val="19"/>
                <w:szCs w:val="19"/>
              </w:rPr>
              <w:t xml:space="preserve">Why 10 PCs is the sweet spot</w:t>
            </w:r>
          </w:p>
          <w:p>
            <w:pPr>
              <w:spacing w:after="0" w:before="0"/>
            </w:pPr>
            <w:r>
              <w:rPr>
                <w:rFonts w:ascii="Arial" w:cs="Arial" w:eastAsia="Arial" w:hAnsi="Arial"/>
                <w:sz w:val="19"/>
                <w:szCs w:val="19"/>
              </w:rPr>
              <w:t xml:space="preserve">PCs 1–10 collectively explain 95.2% of the total variance. PCs 11 onwards each contribute less than 1% and mainly capture measurement noise. As the LR performance analysis confirms (Section 4), adding PCs beyond 10 produces negligible or negative changes in AUC.</w:t>
            </w:r>
          </w:p>
        </w:tc>
      </w:tr>
    </w:tbl>
    <w:p>
      <w:pPr>
        <w:spacing w:after="0" w:before="90"/>
      </w:pPr>
      <w:r>
        <w:t xml:space="preserve"/>
      </w:r>
    </w:p>
    <w:p>
      <w:pPr>
        <w:pStyle w:val="Heading1"/>
        <w:spacing w:after="120" w:before="300"/>
      </w:pPr>
      <w:r>
        <w:rPr>
          <w:rFonts w:ascii="Arial" w:cs="Arial" w:eastAsia="Arial" w:hAnsi="Arial"/>
          <w:b/>
          <w:bCs/>
          <w:color w:val="185FA5"/>
          <w:sz w:val="30"/>
          <w:szCs w:val="30"/>
        </w:rPr>
        <w:t xml:space="preserve">3. Visual analysis</w:t>
      </w:r>
    </w:p>
    <w:p>
      <w:pPr>
        <w:pStyle w:val="Heading2"/>
        <w:spacing w:after="90" w:before="220"/>
      </w:pPr>
      <w:r>
        <w:rPr>
          <w:rFonts w:ascii="Arial" w:cs="Arial" w:eastAsia="Arial" w:hAnsi="Arial"/>
          <w:b/>
          <w:bCs/>
          <w:color w:val="0F6E56"/>
          <w:sz w:val="24"/>
          <w:szCs w:val="24"/>
        </w:rPr>
        <w:t xml:space="preserve">3.1 Scree plot and cumulative variance</w:t>
      </w:r>
    </w:p>
    <w:p>
      <w:pPr>
        <w:spacing w:after="75" w:before="55"/>
      </w:pPr>
      <w:r>
        <w:rPr>
          <w:rFonts w:ascii="Arial" w:cs="Arial" w:eastAsia="Arial" w:hAnsi="Arial"/>
          <w:sz w:val="20"/>
          <w:szCs w:val="20"/>
        </w:rPr>
        <w:t xml:space="preserve">The scree plot (left) shows eigenvalues dropping steeply from PC1 through PC6, then levelling off below 1.0 — the classic 'elbow' that marks the Kaiser cut-off. The cumulative variance plot (right) shows the three commonly used thresholds: 80%, 90%, and 95%.</w:t>
      </w:r>
    </w:p>
    <w:p>
      <w:pPr>
        <w:spacing w:after="0" w:before="80"/>
      </w:pPr>
      <w:r>
        <w:t xml:space="preserve"/>
      </w:r>
    </w:p>
    <w:p>
      <w:pPr>
        <w:spacing w:after="50" w:before="100"/>
        <w:jc w:val="center"/>
      </w:pPr>
      <w:r>
        <w:drawing>
          <wp:inline distT="0" distB="0" distL="0" distR="0">
            <wp:extent cx="5143500" cy="2000250"/>
            <wp:effectExtent t="0" r="0" b="0" l="0"/>
            <wp:docPr id="1" name="Figure 1 — Scree plot (left) and cumulative explained variance (right). Dashed lines mark the Kaiser criterion and variance thresholds." descr="Figure 1 — Scree plot (left) and cumulative explained variance (right). Dashed lines mark the Kaiser criterion and variance thresholds." title="Figure 1 — Scree plot (left) and cumulative explained variance (right). Dashed lines mark the Kaiser criterion and variance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000250"/>
                    </a:xfrm>
                    <a:prstGeom prst="rect">
                      <a:avLst/>
                    </a:prstGeom>
                  </pic:spPr>
                </pic:pic>
              </a:graphicData>
            </a:graphic>
          </wp:inline>
        </w:drawing>
      </w:r>
    </w:p>
    <w:p>
      <w:pPr>
        <w:spacing w:after="140" w:before="0"/>
        <w:jc w:val="center"/>
      </w:pPr>
      <w:r>
        <w:rPr>
          <w:rFonts w:ascii="Arial" w:cs="Arial" w:eastAsia="Arial" w:hAnsi="Arial"/>
          <w:color w:val="555555"/>
          <w:sz w:val="17"/>
          <w:szCs w:val="17"/>
        </w:rPr>
        <w:t xml:space="preserve">Figure 1 — Scree plot (left) and cumulative explained variance (right). Dashed lines mark the Kaiser criterion and variance thresholds.</w:t>
      </w:r>
    </w:p>
    <w:p>
      <w:pPr>
        <w:pStyle w:val="Heading2"/>
        <w:spacing w:after="90" w:before="220"/>
      </w:pPr>
      <w:r>
        <w:rPr>
          <w:rFonts w:ascii="Arial" w:cs="Arial" w:eastAsia="Arial" w:hAnsi="Arial"/>
          <w:b/>
          <w:bCs/>
          <w:color w:val="0F6E56"/>
          <w:sz w:val="24"/>
          <w:szCs w:val="24"/>
        </w:rPr>
        <w:t xml:space="preserve">3.2 PCA biplot — PC1 vs PC2</w:t>
      </w:r>
    </w:p>
    <w:p>
      <w:pPr>
        <w:spacing w:after="75" w:before="55"/>
      </w:pPr>
      <w:r>
        <w:rPr>
          <w:rFonts w:ascii="Arial" w:cs="Arial" w:eastAsia="Arial" w:hAnsi="Arial"/>
          <w:sz w:val="20"/>
          <w:szCs w:val="20"/>
        </w:rPr>
        <w:t xml:space="preserve">The biplot projects all 569 patients into the 2-dimensional space of PC1 and PC2. Coloured by diagnosis, the two classes are already largely separated along PC1 alone — confirming that PC1 (44.3% variance, dominated by size features like radius, perimeter, and area) is the strongest single discriminating component. Loading arrows show which original features drive each PC.</w:t>
      </w:r>
    </w:p>
    <w:p>
      <w:pPr>
        <w:spacing w:after="0" w:before="80"/>
      </w:pPr>
      <w:r>
        <w:t xml:space="preserve"/>
      </w:r>
    </w:p>
    <w:p>
      <w:pPr>
        <w:spacing w:after="50" w:before="100"/>
        <w:jc w:val="center"/>
      </w:pPr>
      <w:r>
        <w:drawing>
          <wp:inline distT="0" distB="0" distL="0" distR="0">
            <wp:extent cx="4953000" cy="3952875"/>
            <wp:effectExtent t="0" r="0" b="0" l="0"/>
            <wp:docPr id="1" name="Figure 2 — PCA biplot (PC1 vs PC2). Points coloured by diagnosis; arrows show top-8 feature loadings scaled for visibility." descr="Figure 2 — PCA biplot (PC1 vs PC2). Points coloured by diagnosis; arrows show top-8 feature loadings scaled for visibility." title="Figure 2 — PCA biplot (PC1 vs PC2). Points coloured by diagnosis; arrows show top-8 feature loadings scaled for 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952875"/>
                    </a:xfrm>
                    <a:prstGeom prst="rect">
                      <a:avLst/>
                    </a:prstGeom>
                  </pic:spPr>
                </pic:pic>
              </a:graphicData>
            </a:graphic>
          </wp:inline>
        </w:drawing>
      </w:r>
    </w:p>
    <w:p>
      <w:pPr>
        <w:spacing w:after="140" w:before="0"/>
        <w:jc w:val="center"/>
      </w:pPr>
      <w:r>
        <w:rPr>
          <w:rFonts w:ascii="Arial" w:cs="Arial" w:eastAsia="Arial" w:hAnsi="Arial"/>
          <w:color w:val="555555"/>
          <w:sz w:val="17"/>
          <w:szCs w:val="17"/>
        </w:rPr>
        <w:t xml:space="preserve">Figure 2 — PCA biplot (PC1 vs PC2). Points coloured by diagnosis; arrows show top-8 feature loadings scaled for visibility.</w:t>
      </w:r>
    </w:p>
    <w:p>
      <w:r>
        <w:br w:type="page"/>
      </w:r>
    </w:p>
    <w:p>
      <w:pPr>
        <w:pStyle w:val="Heading2"/>
        <w:spacing w:after="90" w:before="220"/>
      </w:pPr>
      <w:r>
        <w:rPr>
          <w:rFonts w:ascii="Arial" w:cs="Arial" w:eastAsia="Arial" w:hAnsi="Arial"/>
          <w:b/>
          <w:bCs/>
          <w:color w:val="0F6E56"/>
          <w:sz w:val="24"/>
          <w:szCs w:val="24"/>
        </w:rPr>
        <w:t xml:space="preserve">3.3 Loading heatmap — PC1 to PC10</w:t>
      </w:r>
    </w:p>
    <w:p>
      <w:pPr>
        <w:spacing w:after="75" w:before="55"/>
      </w:pPr>
      <w:r>
        <w:rPr>
          <w:rFonts w:ascii="Arial" w:cs="Arial" w:eastAsia="Arial" w:hAnsi="Arial"/>
          <w:sz w:val="20"/>
          <w:szCs w:val="20"/>
        </w:rPr>
        <w:t xml:space="preserve">The heatmap shows how each original feature loads onto PCs 1 through 10. Red indicates a positive loading (feature pushes the PC score up), blue indicates a negative loading. PC1 loads uniformly and positively on size features. PC2 loads strongly on texture and symmetry. Later PCs pick up increasingly specific combinations.</w:t>
      </w:r>
    </w:p>
    <w:p>
      <w:pPr>
        <w:spacing w:after="0" w:before="80"/>
      </w:pPr>
      <w:r>
        <w:t xml:space="preserve"/>
      </w:r>
    </w:p>
    <w:p>
      <w:pPr>
        <w:spacing w:after="50" w:before="100"/>
        <w:jc w:val="center"/>
      </w:pPr>
      <w:r>
        <w:drawing>
          <wp:inline distT="0" distB="0" distL="0" distR="0">
            <wp:extent cx="5715000" cy="1857375"/>
            <wp:effectExtent t="0" r="0" b="0" l="0"/>
            <wp:docPr id="1" name="Figure 3 — Loading heatmap for PC1–PC10. Each cell shows the weight of an original feature in each principal component." descr="Figure 3 — Loading heatmap for PC1–PC10. Each cell shows the weight of an original feature in each principal component." title="Figure 3 — Loading heatmap for PC1–PC10. Each cell shows the weight of an original feature in each principal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57375"/>
                    </a:xfrm>
                    <a:prstGeom prst="rect">
                      <a:avLst/>
                    </a:prstGeom>
                  </pic:spPr>
                </pic:pic>
              </a:graphicData>
            </a:graphic>
          </wp:inline>
        </w:drawing>
      </w:r>
    </w:p>
    <w:p>
      <w:pPr>
        <w:spacing w:after="140" w:before="0"/>
        <w:jc w:val="center"/>
      </w:pPr>
      <w:r>
        <w:rPr>
          <w:rFonts w:ascii="Arial" w:cs="Arial" w:eastAsia="Arial" w:hAnsi="Arial"/>
          <w:color w:val="555555"/>
          <w:sz w:val="17"/>
          <w:szCs w:val="17"/>
        </w:rPr>
        <w:t xml:space="preserve">Figure 3 — Loading heatmap for PC1–PC10. Each cell shows the weight of an original feature in each principal component.</w:t>
      </w:r>
    </w:p>
    <w:p>
      <w:pPr>
        <w:spacing w:after="0" w:before="90"/>
      </w:pPr>
      <w:r>
        <w:t xml:space="preserve"/>
      </w:r>
    </w:p>
    <w:p>
      <w:pPr>
        <w:pStyle w:val="Heading1"/>
        <w:spacing w:after="120" w:before="300"/>
      </w:pPr>
      <w:r>
        <w:rPr>
          <w:rFonts w:ascii="Arial" w:cs="Arial" w:eastAsia="Arial" w:hAnsi="Arial"/>
          <w:b/>
          <w:bCs/>
          <w:color w:val="185FA5"/>
          <w:sz w:val="30"/>
          <w:szCs w:val="30"/>
        </w:rPr>
        <w:t xml:space="preserve">4. Logistic Regression performance vs number of PCs</w:t>
      </w:r>
    </w:p>
    <w:p>
      <w:pPr>
        <w:spacing w:after="75" w:before="55"/>
      </w:pPr>
      <w:r>
        <w:rPr>
          <w:rFonts w:ascii="Arial" w:cs="Arial" w:eastAsia="Arial" w:hAnsi="Arial"/>
          <w:sz w:val="20"/>
          <w:szCs w:val="20"/>
        </w:rPr>
        <w:t xml:space="preserve">The table below shows 10-fold stratified cross-validation results for Logistic Regression at each PC count from 1 to 30. The pipeline is StandardScaler → PCA(n) → LogisticRegression (lbfgs, max_iter=5000) at every step.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20"/>
        <w:gridCol w:w="1100"/>
        <w:gridCol w:w="1100"/>
        <w:gridCol w:w="1100"/>
        <w:gridCol w:w="1100"/>
        <w:gridCol w:w="1100"/>
        <w:gridCol w:w="2500"/>
      </w:tblGrid>
      <w:tr>
        <w:tc>
          <w:tcPr>
            <w:tcW w:type="dxa" w:w="54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PCs</w:t>
            </w:r>
          </w:p>
        </w:tc>
        <w:tc>
          <w:tcPr>
            <w:tcW w:type="dxa" w:w="82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Cum%</w:t>
            </w:r>
          </w:p>
        </w:tc>
        <w:tc>
          <w:tcPr>
            <w:tcW w:type="dxa" w:w="110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Accuracy</w:t>
            </w:r>
          </w:p>
        </w:tc>
        <w:tc>
          <w:tcPr>
            <w:tcW w:type="dxa" w:w="110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Precision</w:t>
            </w:r>
          </w:p>
        </w:tc>
        <w:tc>
          <w:tcPr>
            <w:tcW w:type="dxa" w:w="110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Recall</w:t>
            </w:r>
          </w:p>
        </w:tc>
        <w:tc>
          <w:tcPr>
            <w:tcW w:type="dxa" w:w="110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F1</w:t>
            </w:r>
          </w:p>
        </w:tc>
        <w:tc>
          <w:tcPr>
            <w:tcW w:type="dxa" w:w="110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AUC</w:t>
            </w:r>
          </w:p>
        </w:tc>
        <w:tc>
          <w:tcPr>
            <w:tcW w:type="dxa" w:w="250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Note</w:t>
            </w:r>
          </w:p>
        </w:tc>
      </w:tr>
      <w:tr>
        <w:tc>
          <w:tcPr>
            <w:tcW w:type="dxa" w:w="5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PC1</w:t>
            </w:r>
          </w:p>
        </w:tc>
        <w:tc>
          <w:tcPr>
            <w:tcW w:type="dxa" w:w="82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44.3%</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0.9122</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0.9392</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0.8773</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0.8774</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0.9697</w:t>
            </w:r>
          </w:p>
        </w:tc>
        <w:tc>
          <w:tcPr>
            <w:tcW w:type="dxa" w:w="25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PC1 only — size signal alone</w:t>
            </w:r>
          </w:p>
        </w:tc>
      </w:tr>
      <w:tr>
        <w:tc>
          <w:tcPr>
            <w:tcW w:type="dxa" w:w="5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PC2</w:t>
            </w:r>
          </w:p>
        </w:tc>
        <w:tc>
          <w:tcPr>
            <w:tcW w:type="dxa" w:w="82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63.2%</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0.9491</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0.9579</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0.9203</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0.9303</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0.9902</w:t>
            </w:r>
          </w:p>
        </w:tc>
        <w:tc>
          <w:tcPr>
            <w:tcW w:type="dxa" w:w="2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Big jump adding texture PC</w:t>
            </w:r>
          </w:p>
        </w:tc>
      </w:tr>
      <w:tr>
        <w:tc>
          <w:tcPr>
            <w:tcW w:type="dxa" w:w="5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PC3</w:t>
            </w:r>
          </w:p>
        </w:tc>
        <w:tc>
          <w:tcPr>
            <w:tcW w:type="dxa" w:w="82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72.6%</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0.9491</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0.9551</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0.9203</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0.9306</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0.9921</w:t>
            </w:r>
          </w:p>
        </w:tc>
        <w:tc>
          <w:tcPr>
            <w:tcW w:type="dxa" w:w="25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Marginal gain</w:t>
            </w:r>
          </w:p>
        </w:tc>
      </w:tr>
      <w:tr>
        <w:tc>
          <w:tcPr>
            <w:tcW w:type="dxa" w:w="5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PC4</w:t>
            </w:r>
          </w:p>
        </w:tc>
        <w:tc>
          <w:tcPr>
            <w:tcW w:type="dxa" w:w="82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79.2%</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0.9632</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0.9688</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0.9389</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0.9491</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0.9941</w:t>
            </w:r>
          </w:p>
        </w:tc>
        <w:tc>
          <w:tcPr>
            <w:tcW w:type="dxa" w:w="2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Crosses 80% variance</w:t>
            </w:r>
          </w:p>
        </w:tc>
      </w:tr>
      <w:tr>
        <w:tc>
          <w:tcPr>
            <w:tcW w:type="dxa" w:w="5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PC5</w:t>
            </w:r>
          </w:p>
        </w:tc>
        <w:tc>
          <w:tcPr>
            <w:tcW w:type="dxa" w:w="82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84.7%</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0.9632</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0.9693</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0.9389</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0.9504</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0.9942</w:t>
            </w:r>
          </w:p>
        </w:tc>
        <w:tc>
          <w:tcPr>
            <w:tcW w:type="dxa" w:w="25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Crosses 85% variance</w:t>
            </w:r>
          </w:p>
        </w:tc>
      </w:tr>
      <w:tr>
        <w:tc>
          <w:tcPr>
            <w:tcW w:type="dxa" w:w="5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PC6</w:t>
            </w:r>
          </w:p>
        </w:tc>
        <w:tc>
          <w:tcPr>
            <w:tcW w:type="dxa" w:w="82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88.8%</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0.9684</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0.9737</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0.9479</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0.9574</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0.9942</w:t>
            </w:r>
          </w:p>
        </w:tc>
        <w:tc>
          <w:tcPr>
            <w:tcW w:type="dxa" w:w="2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Kaiser threshold</w:t>
            </w:r>
          </w:p>
        </w:tc>
      </w:tr>
      <w:tr>
        <w:tc>
          <w:tcPr>
            <w:tcW w:type="dxa" w:w="5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PC7</w:t>
            </w:r>
          </w:p>
        </w:tc>
        <w:tc>
          <w:tcPr>
            <w:tcW w:type="dxa" w:w="82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91.0%</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0.9684</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0.9743</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0.9479</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0.9567</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0.9941</w:t>
            </w:r>
          </w:p>
        </w:tc>
        <w:tc>
          <w:tcPr>
            <w:tcW w:type="dxa" w:w="25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Crosses 90% variance</w:t>
            </w:r>
          </w:p>
        </w:tc>
      </w:tr>
      <w:tr>
        <w:tc>
          <w:tcPr>
            <w:tcW w:type="dxa" w:w="5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PC8</w:t>
            </w:r>
          </w:p>
        </w:tc>
        <w:tc>
          <w:tcPr>
            <w:tcW w:type="dxa" w:w="82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92.6%</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0.9719</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0.9773</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0.9527</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0.9614</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0.9949</w:t>
            </w:r>
          </w:p>
        </w:tc>
        <w:tc>
          <w:tcPr>
            <w:tcW w:type="dxa" w:w="2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Steady improvement</w:t>
            </w:r>
          </w:p>
        </w:tc>
      </w:tr>
      <w:tr>
        <w:tc>
          <w:tcPr>
            <w:tcW w:type="dxa" w:w="5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PC9</w:t>
            </w:r>
          </w:p>
        </w:tc>
        <w:tc>
          <w:tcPr>
            <w:tcW w:type="dxa" w:w="82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94.0%</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bCs/>
                <w:color w:val="0F6E56"/>
                <w:sz w:val="18"/>
                <w:szCs w:val="18"/>
              </w:rPr>
              <w:t xml:space="preserve">0.9772</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0.9795</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0.9621</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0.9690</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bCs/>
                <w:color w:val="0F6E56"/>
                <w:sz w:val="18"/>
                <w:szCs w:val="18"/>
              </w:rPr>
              <w:t xml:space="preserve">0.9955</w:t>
            </w:r>
          </w:p>
        </w:tc>
        <w:tc>
          <w:tcPr>
            <w:tcW w:type="dxa" w:w="25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Acc matches baseline</w:t>
            </w:r>
          </w:p>
        </w:tc>
      </w:tr>
      <w:tr>
        <w:tc>
          <w:tcPr>
            <w:tcW w:type="dxa" w:w="5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PC10</w:t>
            </w:r>
          </w:p>
        </w:tc>
        <w:tc>
          <w:tcPr>
            <w:tcW w:type="dxa" w:w="82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95.2%</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bCs/>
                <w:color w:val="0F6E56"/>
                <w:sz w:val="18"/>
                <w:szCs w:val="18"/>
              </w:rPr>
              <w:t xml:space="preserve">0.9789</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0.9811</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0.9621</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0.9711</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bCs/>
                <w:color w:val="0F6E56"/>
                <w:sz w:val="18"/>
                <w:szCs w:val="18"/>
              </w:rPr>
              <w:t xml:space="preserve">0.9947</w:t>
            </w:r>
          </w:p>
        </w:tc>
        <w:tc>
          <w:tcPr>
            <w:tcW w:type="dxa" w:w="25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AUC matches baseline</w:t>
            </w:r>
          </w:p>
        </w:tc>
      </w:tr>
      <w:tr>
        <w:tc>
          <w:tcPr>
            <w:tcW w:type="dxa" w:w="54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PC11</w:t>
            </w:r>
          </w:p>
        </w:tc>
        <w:tc>
          <w:tcPr>
            <w:tcW w:type="dxa" w:w="82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96.1%</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bCs/>
                <w:color w:val="0F6E56"/>
                <w:sz w:val="18"/>
                <w:szCs w:val="18"/>
              </w:rPr>
              <w:t xml:space="preserve">0.9789</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0.9809</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0.9621</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0.9711</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bCs/>
                <w:color w:val="0F6E56"/>
                <w:sz w:val="18"/>
                <w:szCs w:val="18"/>
              </w:rPr>
              <w:t xml:space="preserve">0.9951</w:t>
            </w:r>
          </w:p>
        </w:tc>
        <w:tc>
          <w:tcPr>
            <w:tcW w:type="dxa" w:w="25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Performance plateau</w:t>
            </w:r>
          </w:p>
        </w:tc>
      </w:tr>
      <w:tr>
        <w:tc>
          <w:tcPr>
            <w:tcW w:type="dxa" w:w="5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PC12</w:t>
            </w:r>
          </w:p>
        </w:tc>
        <w:tc>
          <w:tcPr>
            <w:tcW w:type="dxa" w:w="82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97.0%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0.9789</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0.9824</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0.9621</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0.9711</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0.9949</w:t>
            </w:r>
          </w:p>
        </w:tc>
        <w:tc>
          <w:tcPr>
            <w:tcW w:type="dxa" w:w="2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Plateau continues</w:t>
            </w:r>
          </w:p>
        </w:tc>
      </w:tr>
      <w:tr>
        <w:tc>
          <w:tcPr>
            <w:tcW w:type="dxa" w:w="5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PC13</w:t>
            </w:r>
          </w:p>
        </w:tc>
        <w:tc>
          <w:tcPr>
            <w:tcW w:type="dxa" w:w="82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97.8%</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0.9754</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0.9801</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0.9574</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0.9666</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0.9951</w:t>
            </w:r>
          </w:p>
        </w:tc>
        <w:tc>
          <w:tcPr>
            <w:tcW w:type="dxa" w:w="25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Slight dip</w:t>
            </w:r>
          </w:p>
        </w:tc>
      </w:tr>
      <w:tr>
        <w:tc>
          <w:tcPr>
            <w:tcW w:type="dxa" w:w="5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PC15</w:t>
            </w:r>
          </w:p>
        </w:tc>
        <w:tc>
          <w:tcPr>
            <w:tcW w:type="dxa" w:w="82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98.7%</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0.9789</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0.9820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0.9621</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0.9705</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0.9951</w:t>
            </w:r>
          </w:p>
        </w:tc>
        <w:tc>
          <w:tcPr>
            <w:tcW w:type="dxa" w:w="2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Near-baseline</w:t>
            </w:r>
          </w:p>
        </w:tc>
      </w:tr>
      <w:tr>
        <w:tc>
          <w:tcPr>
            <w:tcW w:type="dxa" w:w="5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PC20</w:t>
            </w:r>
          </w:p>
        </w:tc>
        <w:tc>
          <w:tcPr>
            <w:tcW w:type="dxa" w:w="82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99.6%</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0.9754</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0.9801</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0.9574</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0.9659</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0.9949</w:t>
            </w:r>
          </w:p>
        </w:tc>
        <w:tc>
          <w:tcPr>
            <w:tcW w:type="dxa" w:w="25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No gain over 10 PCs</w:t>
            </w:r>
          </w:p>
        </w:tc>
      </w:tr>
      <w:tr>
        <w:tc>
          <w:tcPr>
            <w:tcW w:type="dxa" w:w="5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PC30</w:t>
            </w:r>
          </w:p>
        </w:tc>
        <w:tc>
          <w:tcPr>
            <w:tcW w:type="dxa" w:w="82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100.0%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0.9754</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0.9820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0.9574</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0.9659</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0.9947</w:t>
            </w:r>
          </w:p>
        </w:tc>
        <w:tc>
          <w:tcPr>
            <w:tcW w:type="dxa" w:w="25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5F5E5A"/>
                <w:sz w:val="18"/>
                <w:szCs w:val="18"/>
              </w:rPr>
              <w:t xml:space="preserve">Full data — same as baseline</w:t>
            </w:r>
          </w:p>
        </w:tc>
      </w:tr>
    </w:tbl>
    <w:p>
      <w:pPr>
        <w:spacing w:after="0" w:before="80"/>
      </w:pPr>
      <w:r>
        <w:t xml:space="preserve"/>
      </w:r>
    </w:p>
    <w:p>
      <w:pPr>
        <w:spacing w:after="50" w:before="100"/>
        <w:jc w:val="center"/>
      </w:pPr>
      <w:r>
        <w:drawing>
          <wp:inline distT="0" distB="0" distL="0" distR="0">
            <wp:extent cx="5715000" cy="2095500"/>
            <wp:effectExtent t="0" r="0" b="0" l="0"/>
            <wp:docPr id="1" name="Figure 4 — Accuracy, AUC-ROC, and F1 as a function of retained PCs. Dashed line = baseline (no PCA). Shaded region = sweet spot (PC6–PC12)." descr="Figure 4 — Accuracy, AUC-ROC, and F1 as a function of retained PCs. Dashed line = baseline (no PCA). Shaded region = sweet spot (PC6–PC12)." title="Figure 4 — Accuracy, AUC-ROC, and F1 as a function of retained PCs. Dashed line = baseline (no PCA). Shaded region = sweet spot (PC6–P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95500"/>
                    </a:xfrm>
                    <a:prstGeom prst="rect">
                      <a:avLst/>
                    </a:prstGeom>
                  </pic:spPr>
                </pic:pic>
              </a:graphicData>
            </a:graphic>
          </wp:inline>
        </w:drawing>
      </w:r>
    </w:p>
    <w:p>
      <w:pPr>
        <w:spacing w:after="140" w:before="0"/>
        <w:jc w:val="center"/>
      </w:pPr>
      <w:r>
        <w:rPr>
          <w:rFonts w:ascii="Arial" w:cs="Arial" w:eastAsia="Arial" w:hAnsi="Arial"/>
          <w:color w:val="555555"/>
          <w:sz w:val="17"/>
          <w:szCs w:val="17"/>
        </w:rPr>
        <w:t xml:space="preserve">Figure 4 — Accuracy, AUC-ROC, and F1 as a function of retained PCs. Dashed line = baseline (no PCA). Shaded region = sweet spot (PC6–PC12).</w:t>
      </w:r>
    </w:p>
    <w:p>
      <w:pPr>
        <w:spacing w:after="0" w:before="90"/>
      </w:pPr>
      <w:r>
        <w:t xml:space="preserve"/>
      </w:r>
    </w:p>
    <w:p>
      <w:pPr>
        <w:pStyle w:val="Heading1"/>
        <w:spacing w:after="120" w:before="300"/>
      </w:pPr>
      <w:r>
        <w:rPr>
          <w:rFonts w:ascii="Arial" w:cs="Arial" w:eastAsia="Arial" w:hAnsi="Arial"/>
          <w:b/>
          <w:bCs/>
          <w:color w:val="185FA5"/>
          <w:sz w:val="30"/>
          <w:szCs w:val="30"/>
        </w:rPr>
        <w:t xml:space="preserve">5. Interpreting the results</w:t>
      </w:r>
    </w:p>
    <w:p>
      <w:pPr>
        <w:pStyle w:val="Heading2"/>
        <w:spacing w:after="90" w:before="220"/>
      </w:pPr>
      <w:r>
        <w:rPr>
          <w:rFonts w:ascii="Arial" w:cs="Arial" w:eastAsia="Arial" w:hAnsi="Arial"/>
          <w:b/>
          <w:bCs/>
          <w:color w:val="0F6E56"/>
          <w:sz w:val="24"/>
          <w:szCs w:val="24"/>
        </w:rPr>
        <w:t xml:space="preserve">5.1 Key inflection points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300"/>
        <w:gridCol w:w="1100"/>
        <w:gridCol w:w="1100"/>
        <w:gridCol w:w="1100"/>
        <w:gridCol w:w="3800"/>
      </w:tblGrid>
      <w:tr>
        <w:tc>
          <w:tcPr>
            <w:tcW w:type="dxa" w:w="96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PCs</w:t>
            </w:r>
          </w:p>
        </w:tc>
        <w:tc>
          <w:tcPr>
            <w:tcW w:type="dxa" w:w="130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Cum.Var</w:t>
            </w:r>
          </w:p>
        </w:tc>
        <w:tc>
          <w:tcPr>
            <w:tcW w:type="dxa" w:w="110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Accuracy</w:t>
            </w:r>
          </w:p>
        </w:tc>
        <w:tc>
          <w:tcPr>
            <w:tcW w:type="dxa" w:w="110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AUC</w:t>
            </w:r>
          </w:p>
        </w:tc>
        <w:tc>
          <w:tcPr>
            <w:tcW w:type="dxa" w:w="110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F1</w:t>
            </w:r>
          </w:p>
        </w:tc>
        <w:tc>
          <w:tcPr>
            <w:tcW w:type="dxa" w:w="380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What changes</w:t>
            </w:r>
          </w:p>
        </w:tc>
      </w:tr>
      <w:tr>
        <w:tc>
          <w:tcPr>
            <w:tcW w:type="dxa" w:w="9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44.3%</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0.9122</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0.9697</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0.8774</w:t>
            </w:r>
          </w:p>
        </w:tc>
        <w:tc>
          <w:tcPr>
            <w:tcW w:type="dxa" w:w="38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444441"/>
                <w:sz w:val="18"/>
                <w:szCs w:val="18"/>
              </w:rPr>
              <w:t xml:space="preserve">Only PC1 used — size features. Strong signal but misses texture.</w:t>
            </w:r>
          </w:p>
        </w:tc>
      </w:tr>
      <w:tr>
        <w:tc>
          <w:tcPr>
            <w:tcW w:type="dxa" w:w="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63.2%</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0.9491</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0.9902</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0.9303</w:t>
            </w:r>
          </w:p>
        </w:tc>
        <w:tc>
          <w:tcPr>
            <w:tcW w:type="dxa" w:w="3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444441"/>
                <w:sz w:val="18"/>
                <w:szCs w:val="18"/>
              </w:rPr>
              <w:t xml:space="preserve">PC2 adds texture/symmetry. Large jump in both Accuracy and AUC.</w:t>
            </w:r>
          </w:p>
        </w:tc>
      </w:tr>
      <w:tr>
        <w:tc>
          <w:tcPr>
            <w:tcW w:type="dxa" w:w="9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6</w:t>
            </w:r>
          </w:p>
        </w:tc>
        <w:tc>
          <w:tcPr>
            <w:tcW w:type="dxa" w:w="13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88.8%</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0.9684</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0.9942</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0.9574</w:t>
            </w:r>
          </w:p>
        </w:tc>
        <w:tc>
          <w:tcPr>
            <w:tcW w:type="dxa" w:w="38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444441"/>
                <w:sz w:val="18"/>
                <w:szCs w:val="18"/>
              </w:rPr>
              <w:t xml:space="preserve">Kaiser threshold. Good balance — AUC nearly at ceiling.</w:t>
            </w:r>
          </w:p>
        </w:tc>
      </w:tr>
      <w:tr>
        <w:tc>
          <w:tcPr>
            <w:tcW w:type="dxa" w:w="96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bCs/>
                <w:color w:val="0F6E56"/>
                <w:sz w:val="18"/>
                <w:szCs w:val="18"/>
              </w:rPr>
              <w:t xml:space="preserve">10</w:t>
            </w:r>
          </w:p>
        </w:tc>
        <w:tc>
          <w:tcPr>
            <w:tcW w:type="dxa" w:w="13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95.2%</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bCs/>
                <w:color w:val="0F6E56"/>
                <w:sz w:val="18"/>
                <w:szCs w:val="18"/>
              </w:rPr>
              <w:t xml:space="preserve">0.9789</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bCs/>
                <w:color w:val="0F6E56"/>
                <w:sz w:val="18"/>
                <w:szCs w:val="18"/>
              </w:rPr>
              <w:t xml:space="preserve">0.9947</w:t>
            </w:r>
          </w:p>
        </w:tc>
        <w:tc>
          <w:tcPr>
            <w:tcW w:type="dxa" w:w="11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0.9711</w:t>
            </w:r>
          </w:p>
        </w:tc>
        <w:tc>
          <w:tcPr>
            <w:tcW w:type="dxa" w:w="3800"/>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left"/>
            </w:pPr>
            <w:r>
              <w:rPr>
                <w:rFonts w:ascii="Arial" w:cs="Arial" w:eastAsia="Arial" w:hAnsi="Arial"/>
                <w:b w:val="false"/>
                <w:bCs w:val="false"/>
                <w:color w:val="444441"/>
                <w:sz w:val="18"/>
                <w:szCs w:val="18"/>
              </w:rPr>
              <w:t xml:space="preserve">AUC matches full 30-feature baseline exactly. Recommended.</w:t>
            </w:r>
          </w:p>
        </w:tc>
      </w:tr>
      <w:tr>
        <w:tc>
          <w:tcPr>
            <w:tcW w:type="dxa" w:w="96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11</w:t>
            </w:r>
          </w:p>
        </w:tc>
        <w:tc>
          <w:tcPr>
            <w:tcW w:type="dxa" w:w="13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96.1%</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0.9789</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0.9951</w:t>
            </w:r>
          </w:p>
        </w:tc>
        <w:tc>
          <w:tcPr>
            <w:tcW w:type="dxa" w:w="11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0.9711</w:t>
            </w:r>
          </w:p>
        </w:tc>
        <w:tc>
          <w:tcPr>
            <w:tcW w:type="dxa" w:w="38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444441"/>
                <w:sz w:val="18"/>
                <w:szCs w:val="18"/>
              </w:rPr>
              <w:t xml:space="preserve">Performance plateau reached. Adding more PCs offers no gain.</w:t>
            </w:r>
          </w:p>
        </w:tc>
      </w:tr>
      <w:tr>
        <w:tc>
          <w:tcPr>
            <w:tcW w:type="dxa" w:w="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30</w:t>
            </w:r>
          </w:p>
        </w:tc>
        <w:tc>
          <w:tcPr>
            <w:tcW w:type="dxa" w:w="13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Arial" w:cs="Arial" w:eastAsia="Arial" w:hAnsi="Arial"/>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0.9754</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0.9947</w:t>
            </w:r>
          </w:p>
        </w:tc>
        <w:tc>
          <w:tcPr>
            <w:tcW w:type="dxa" w:w="11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center"/>
            </w:pPr>
            <w:r>
              <w:rPr>
                <w:rFonts w:ascii="Courier New" w:cs="Courier New" w:eastAsia="Courier New" w:hAnsi="Courier New"/>
                <w:b w:val="false"/>
                <w:bCs w:val="false"/>
                <w:color w:val="000000"/>
                <w:sz w:val="18"/>
                <w:szCs w:val="18"/>
              </w:rPr>
              <w:t xml:space="preserve">0.9659</w:t>
            </w:r>
          </w:p>
        </w:tc>
        <w:tc>
          <w:tcPr>
            <w:tcW w:type="dxa" w:w="3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444441"/>
                <w:sz w:val="18"/>
                <w:szCs w:val="18"/>
              </w:rPr>
              <w:t xml:space="preserve">All 30 features, no PCA. Slightly lower Acc than PC10 — noise effect.</w:t>
            </w:r>
          </w:p>
        </w:tc>
      </w:tr>
    </w:tbl>
    <w:p>
      <w:pPr>
        <w:spacing w:after="0" w:before="80"/>
      </w:pPr>
      <w:r>
        <w:t xml:space="preserve"/>
      </w:r>
    </w:p>
    <w:p>
      <w:pPr>
        <w:pStyle w:val="Heading2"/>
        <w:spacing w:after="90" w:before="220"/>
      </w:pPr>
      <w:r>
        <w:rPr>
          <w:rFonts w:ascii="Arial" w:cs="Arial" w:eastAsia="Arial" w:hAnsi="Arial"/>
          <w:b/>
          <w:bCs/>
          <w:color w:val="0F6E56"/>
          <w:sz w:val="24"/>
          <w:szCs w:val="24"/>
        </w:rPr>
        <w:t xml:space="preserve">5.2 Why performance plateaus at PC10–11</w:t>
      </w:r>
    </w:p>
    <w:p>
      <w:pPr>
        <w:spacing w:after="75" w:before="55"/>
      </w:pPr>
      <w:r>
        <w:rPr>
          <w:rFonts w:ascii="Arial" w:cs="Arial" w:eastAsia="Arial" w:hAnsi="Arial"/>
          <w:sz w:val="20"/>
          <w:szCs w:val="20"/>
        </w:rPr>
        <w:t xml:space="preserve">Once 95% of variance is captured (PC10), each additional component contributes less than 1% new variance and mostly encodes measurement noise and minor inter-patient variation. Adding these noise-dominated PCs can actually hurt Logistic Regression slightly — as seen at PC13 and PC20, where Accuracy dips marginally below the PC10 peak.</w:t>
      </w:r>
    </w:p>
    <w:p>
      <w:pPr>
        <w:spacing w:after="0" w:before="60"/>
      </w:pPr>
      <w:r>
        <w:t xml:space="preserve"/>
      </w:r>
    </w:p>
    <w:p>
      <w:pPr>
        <w:spacing w:after="75" w:before="55"/>
      </w:pPr>
      <w:r>
        <w:rPr>
          <w:rFonts w:ascii="Arial" w:cs="Arial" w:eastAsia="Arial" w:hAnsi="Arial"/>
          <w:sz w:val="20"/>
          <w:szCs w:val="20"/>
        </w:rPr>
        <w:t xml:space="preserve">This plateau is specific to the breast cancer dataset's redundancy structure. In a dataset where every feature was truly independent, performance would continue improving with each added PC. The rapid plateau here reflects how much overlapping information the 30 features contain.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E6F1FB" w:val="clear"/>
            <w:tcMar>
              <w:top w:type="dxa" w:w="110"/>
              <w:left w:type="dxa" w:w="180"/>
              <w:bottom w:type="dxa" w:w="110"/>
              <w:right w:type="dxa" w:w="180"/>
            </w:tcMar>
          </w:tcPr>
          <w:p>
            <w:pPr>
              <w:spacing w:after="55" w:before="0"/>
            </w:pPr>
            <w:r>
              <w:rPr>
                <w:rFonts w:ascii="Arial" w:cs="Arial" w:eastAsia="Arial" w:hAnsi="Arial"/>
                <w:b/>
                <w:bCs/>
                <w:color w:val="185FA5"/>
                <w:sz w:val="19"/>
                <w:szCs w:val="19"/>
              </w:rPr>
              <w:t xml:space="preserve">The full-data paradox</w:t>
            </w:r>
          </w:p>
          <w:p>
            <w:pPr>
              <w:spacing w:after="0" w:before="0"/>
            </w:pPr>
            <w:r>
              <w:rPr>
                <w:rFonts w:ascii="Arial" w:cs="Arial" w:eastAsia="Arial" w:hAnsi="Arial"/>
                <w:sz w:val="19"/>
                <w:szCs w:val="19"/>
              </w:rPr>
              <w:t xml:space="preserve">Using all 30 features without PCA (Accuracy = 0.9754, AUC = 0.9947) scores lower on Accuracy than PCA(10) (Accuracy = 0.9789). This happens because PCA's denoising effect — discarding the bottom 5% of variance — improves Logistic Regression's coefficient stability on this highly collinear dataset. PCA is doing double duty: reducing dimensions AND acting as a regulariser.</w:t>
            </w:r>
          </w:p>
        </w:tc>
      </w:tr>
    </w:tbl>
    <w:p>
      <w:pPr>
        <w:spacing w:after="0" w:before="90"/>
      </w:pPr>
      <w:r>
        <w:t xml:space="preserve"/>
      </w:r>
    </w:p>
    <w:p>
      <w:r>
        <w:br w:type="page"/>
      </w:r>
    </w:p>
    <w:p>
      <w:pPr>
        <w:pStyle w:val="Heading1"/>
        <w:spacing w:after="120" w:before="300"/>
      </w:pPr>
      <w:r>
        <w:rPr>
          <w:rFonts w:ascii="Arial" w:cs="Arial" w:eastAsia="Arial" w:hAnsi="Arial"/>
          <w:b/>
          <w:bCs/>
          <w:color w:val="185FA5"/>
          <w:sz w:val="30"/>
          <w:szCs w:val="30"/>
        </w:rPr>
        <w:t xml:space="preserve">6. Recommended pipeline</w:t>
      </w:r>
    </w:p>
    <w:p>
      <w:pPr>
        <w:spacing w:after="75" w:before="55"/>
      </w:pPr>
      <w:r>
        <w:rPr>
          <w:rFonts w:ascii="Arial" w:cs="Arial" w:eastAsia="Arial" w:hAnsi="Arial"/>
          <w:sz w:val="20"/>
          <w:szCs w:val="20"/>
        </w:rPr>
        <w:t xml:space="preserve">Based on the full analysis, the recommended pipeline for this dataset 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F1EFE8" w:val="clear"/>
            <w:tcMar>
              <w:top w:type="dxa" w:w="110"/>
              <w:left w:type="dxa" w:w="180"/>
              <w:bottom w:type="dxa" w:w="110"/>
              <w:right w:type="dxa" w:w="180"/>
            </w:tcMar>
          </w:tcPr>
          <w:p>
            <w:pPr>
              <w:spacing w:after="0" w:before="0" w:line="268"/>
            </w:pPr>
            <w:r>
              <w:rPr>
                <w:rFonts w:ascii="Courier New" w:cs="Courier New" w:eastAsia="Courier New" w:hAnsi="Courier New"/>
                <w:sz w:val="18"/>
                <w:szCs w:val="18"/>
              </w:rPr>
              <w:t xml:space="preserve">from sklearn.pipeline import Pipeline</w:t>
            </w:r>
          </w:p>
          <w:p>
            <w:pPr>
              <w:spacing w:after="0" w:before="0" w:line="268"/>
            </w:pPr>
            <w:r>
              <w:rPr>
                <w:rFonts w:ascii="Courier New" w:cs="Courier New" w:eastAsia="Courier New" w:hAnsi="Courier New"/>
                <w:sz w:val="18"/>
                <w:szCs w:val="18"/>
              </w:rPr>
              <w:t xml:space="preserve">from sklearn.preprocessing import StandardScaler</w:t>
            </w:r>
          </w:p>
          <w:p>
            <w:pPr>
              <w:spacing w:after="0" w:before="0" w:line="268"/>
            </w:pPr>
            <w:r>
              <w:rPr>
                <w:rFonts w:ascii="Courier New" w:cs="Courier New" w:eastAsia="Courier New" w:hAnsi="Courier New"/>
                <w:sz w:val="18"/>
                <w:szCs w:val="18"/>
              </w:rPr>
              <w:t xml:space="preserve">from sklearn.decomposition import PCA</w:t>
            </w:r>
          </w:p>
          <w:p>
            <w:pPr>
              <w:spacing w:after="0" w:before="0" w:line="268"/>
            </w:pPr>
            <w:r>
              <w:rPr>
                <w:rFonts w:ascii="Courier New" w:cs="Courier New" w:eastAsia="Courier New" w:hAnsi="Courier New"/>
                <w:sz w:val="18"/>
                <w:szCs w:val="18"/>
              </w:rPr>
              <w:t xml:space="preserve">from sklearn.linear_model import LogisticRegression</w:t>
            </w:r>
          </w:p>
          <w:p>
            <w:pPr>
              <w:spacing w:after="0" w:before="0" w:line="268"/>
            </w:pPr>
            <w:r>
              <w:rPr>
                <w:rFonts w:ascii="Courier New" w:cs="Courier New" w:eastAsia="Courier New" w:hAnsi="Courier New"/>
                <w:sz w:val="18"/>
                <w:szCs w:val="18"/>
              </w:rPr>
              <w:t xml:space="preserve">from sklearn.model_selection import StratifiedKFold, cross_validate</w:t>
            </w:r>
          </w:p>
          <w:p>
            <w:pPr>
              <w:spacing w:after="0" w:before="0" w:line="268"/>
            </w:pPr>
            <w:r>
              <w:rPr>
                <w:rFonts w:ascii="Courier New" w:cs="Courier New" w:eastAsia="Courier New" w:hAnsi="Courier New"/>
                <w:sz w:val="18"/>
                <w:szCs w:val="18"/>
              </w:rPr>
              <w:t xml:space="preserve"/>
            </w:r>
          </w:p>
          <w:p>
            <w:pPr>
              <w:spacing w:after="0" w:before="0" w:line="268"/>
            </w:pPr>
            <w:r>
              <w:rPr>
                <w:rFonts w:ascii="Courier New" w:cs="Courier New" w:eastAsia="Courier New" w:hAnsi="Courier New"/>
                <w:sz w:val="18"/>
                <w:szCs w:val="18"/>
              </w:rPr>
              <w:t xml:space="preserve"># Recommended: 10 PCs captures 95.2% variance, matches full-feature AUC</w:t>
            </w:r>
          </w:p>
          <w:p>
            <w:pPr>
              <w:spacing w:after="0" w:before="0" w:line="268"/>
            </w:pPr>
            <w:r>
              <w:rPr>
                <w:rFonts w:ascii="Courier New" w:cs="Courier New" w:eastAsia="Courier New" w:hAnsi="Courier New"/>
                <w:sz w:val="18"/>
                <w:szCs w:val="18"/>
              </w:rPr>
              <w:t xml:space="preserve">pipe = Pipeline([</w:t>
            </w:r>
          </w:p>
          <w:p>
            <w:pPr>
              <w:spacing w:after="0" w:before="0" w:line="268"/>
            </w:pPr>
            <w:r>
              <w:rPr>
                <w:rFonts w:ascii="Courier New" w:cs="Courier New" w:eastAsia="Courier New" w:hAnsi="Courier New"/>
                <w:sz w:val="18"/>
                <w:szCs w:val="18"/>
              </w:rPr>
              <w:t xml:space="preserve">    ('scaler', StandardScaler()),          # mandatory before PCA</w:t>
            </w:r>
          </w:p>
          <w:p>
            <w:pPr>
              <w:spacing w:after="0" w:before="0" w:line="268"/>
            </w:pPr>
            <w:r>
              <w:rPr>
                <w:rFonts w:ascii="Courier New" w:cs="Courier New" w:eastAsia="Courier New" w:hAnsi="Courier New"/>
                <w:sz w:val="18"/>
                <w:szCs w:val="18"/>
              </w:rPr>
              <w:t xml:space="preserve">    ('pca',    PCA(n_components=10)),      # 10 PCs = 95.2% variance</w:t>
            </w:r>
          </w:p>
          <w:p>
            <w:pPr>
              <w:spacing w:after="0" w:before="0" w:line="268"/>
            </w:pPr>
            <w:r>
              <w:rPr>
                <w:rFonts w:ascii="Courier New" w:cs="Courier New" w:eastAsia="Courier New" w:hAnsi="Courier New"/>
                <w:sz w:val="18"/>
                <w:szCs w:val="18"/>
              </w:rPr>
              <w:t xml:space="preserve">    ('lr',     LogisticRegression(        # logistic regression</w:t>
            </w:r>
          </w:p>
          <w:p>
            <w:pPr>
              <w:spacing w:after="0" w:before="0" w:line="268"/>
            </w:pPr>
            <w:r>
              <w:rPr>
                <w:rFonts w:ascii="Courier New" w:cs="Courier New" w:eastAsia="Courier New" w:hAnsi="Courier New"/>
                <w:sz w:val="18"/>
                <w:szCs w:val="18"/>
              </w:rPr>
              <w:t xml:space="preserve">                   max_iter=5000,</w:t>
            </w:r>
          </w:p>
          <w:p>
            <w:pPr>
              <w:spacing w:after="0" w:before="0" w:line="268"/>
            </w:pPr>
            <w:r>
              <w:rPr>
                <w:rFonts w:ascii="Courier New" w:cs="Courier New" w:eastAsia="Courier New" w:hAnsi="Courier New"/>
                <w:sz w:val="18"/>
                <w:szCs w:val="18"/>
              </w:rPr>
              <w:t xml:space="preserve">                   solver='lbfgs',</w:t>
            </w:r>
          </w:p>
          <w:p>
            <w:pPr>
              <w:spacing w:after="0" w:before="0" w:line="268"/>
            </w:pPr>
            <w:r>
              <w:rPr>
                <w:rFonts w:ascii="Courier New" w:cs="Courier New" w:eastAsia="Courier New" w:hAnsi="Courier New"/>
                <w:sz w:val="18"/>
                <w:szCs w:val="18"/>
              </w:rPr>
              <w:t xml:space="preserve">                   random_state=42))</w:t>
            </w:r>
          </w:p>
          <w:p>
            <w:pPr>
              <w:spacing w:after="0" w:before="0" w:line="268"/>
            </w:pPr>
            <w:r>
              <w:rPr>
                <w:rFonts w:ascii="Courier New" w:cs="Courier New" w:eastAsia="Courier New" w:hAnsi="Courier New"/>
                <w:sz w:val="18"/>
                <w:szCs w:val="18"/>
              </w:rPr>
              <w:t xml:space="preserve">])</w:t>
            </w:r>
          </w:p>
          <w:p>
            <w:pPr>
              <w:spacing w:after="0" w:before="0" w:line="268"/>
            </w:pPr>
            <w:r>
              <w:rPr>
                <w:rFonts w:ascii="Courier New" w:cs="Courier New" w:eastAsia="Courier New" w:hAnsi="Courier New"/>
                <w:sz w:val="18"/>
                <w:szCs w:val="18"/>
              </w:rPr>
              <w:t xml:space="preserve"/>
            </w:r>
          </w:p>
          <w:p>
            <w:pPr>
              <w:spacing w:after="0" w:before="0" w:line="268"/>
            </w:pPr>
            <w:r>
              <w:rPr>
                <w:rFonts w:ascii="Courier New" w:cs="Courier New" w:eastAsia="Courier New" w:hAnsi="Courier New"/>
                <w:sz w:val="18"/>
                <w:szCs w:val="18"/>
              </w:rPr>
              <w:t xml:space="preserve"># Evaluate with 10-fold stratified CV</w:t>
            </w:r>
          </w:p>
          <w:p>
            <w:pPr>
              <w:spacing w:after="0" w:before="0" w:line="268"/>
            </w:pPr>
            <w:r>
              <w:rPr>
                <w:rFonts w:ascii="Courier New" w:cs="Courier New" w:eastAsia="Courier New" w:hAnsi="Courier New"/>
                <w:sz w:val="18"/>
                <w:szCs w:val="18"/>
              </w:rPr>
              <w:t xml:space="preserve">skf     = StratifiedKFold(n_splits=10, shuffle=True, random_state=42)</w:t>
            </w:r>
          </w:p>
          <w:p>
            <w:pPr>
              <w:spacing w:after="0" w:before="0" w:line="268"/>
            </w:pPr>
            <w:r>
              <w:rPr>
                <w:rFonts w:ascii="Courier New" w:cs="Courier New" w:eastAsia="Courier New" w:hAnsi="Courier New"/>
                <w:sz w:val="18"/>
                <w:szCs w:val="18"/>
              </w:rPr>
              <w:t xml:space="preserve">results = cross_validate(pipe, X, y, cv=skf,</w:t>
            </w:r>
          </w:p>
          <w:p>
            <w:pPr>
              <w:spacing w:after="0" w:before="0" w:line="268"/>
            </w:pPr>
            <w:r>
              <w:rPr>
                <w:rFonts w:ascii="Courier New" w:cs="Courier New" w:eastAsia="Courier New" w:hAnsi="Courier New"/>
                <w:sz w:val="18"/>
                <w:szCs w:val="18"/>
              </w:rPr>
              <w:t xml:space="preserve">                         scoring=['accuracy','precision','recall','f1','roc_auc'])</w:t>
            </w:r>
          </w:p>
          <w:p>
            <w:pPr>
              <w:spacing w:after="0" w:before="0" w:line="268"/>
            </w:pPr>
            <w:r>
              <w:rPr>
                <w:rFonts w:ascii="Courier New" w:cs="Courier New" w:eastAsia="Courier New" w:hAnsi="Courier New"/>
                <w:sz w:val="18"/>
                <w:szCs w:val="18"/>
              </w:rPr>
              <w:t xml:space="preserve"/>
            </w:r>
          </w:p>
          <w:p>
            <w:pPr>
              <w:spacing w:after="0" w:before="0" w:line="268"/>
            </w:pPr>
            <w:r>
              <w:rPr>
                <w:rFonts w:ascii="Courier New" w:cs="Courier New" w:eastAsia="Courier New" w:hAnsi="Courier New"/>
                <w:sz w:val="18"/>
                <w:szCs w:val="18"/>
              </w:rPr>
              <w:t xml:space="preserve"># Results: Accuracy=0.9789, AUC=0.9947, F1=0.9711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Accuracy</w:t>
            </w:r>
          </w:p>
        </w:tc>
        <w:tc>
          <w:tcPr>
            <w:tcW w:type="dxa" w:w="1872"/>
            <w:tcBorders>
              <w:top w:val="single" w:color="0F6E56" w:sz="1"/>
              <w:left w:val="single" w:color="0F6E56" w:sz="1"/>
              <w:bottom w:val="single" w:color="0F6E56" w:sz="1"/>
              <w:right w:val="single" w:color="0F6E56" w:sz="1"/>
            </w:tcBorders>
            <w:shd w:fill="0F6E56"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Precision</w:t>
            </w:r>
          </w:p>
        </w:tc>
        <w:tc>
          <w:tcPr>
            <w:tcW w:type="dxa" w:w="1872"/>
            <w:tcBorders>
              <w:top w:val="single" w:color="993C1D" w:sz="1"/>
              <w:left w:val="single" w:color="993C1D" w:sz="1"/>
              <w:bottom w:val="single" w:color="993C1D" w:sz="1"/>
              <w:right w:val="single" w:color="993C1D" w:sz="1"/>
            </w:tcBorders>
            <w:shd w:fill="993C1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Recall</w:t>
            </w:r>
          </w:p>
        </w:tc>
        <w:tc>
          <w:tcPr>
            <w:tcW w:type="dxa" w:w="1872"/>
            <w:tcBorders>
              <w:top w:val="single" w:color="854F0B" w:sz="1"/>
              <w:left w:val="single" w:color="854F0B" w:sz="1"/>
              <w:bottom w:val="single" w:color="854F0B" w:sz="1"/>
              <w:right w:val="single" w:color="854F0B" w:sz="1"/>
            </w:tcBorders>
            <w:shd w:fill="854F0B"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F1</w:t>
            </w:r>
          </w:p>
        </w:tc>
        <w:tc>
          <w:tcPr>
            <w:tcW w:type="dxa" w:w="1872"/>
            <w:tcBorders>
              <w:top w:val="single" w:color="3C3489" w:sz="1"/>
              <w:left w:val="single" w:color="3C3489" w:sz="1"/>
              <w:bottom w:val="single" w:color="3C3489" w:sz="1"/>
              <w:right w:val="single" w:color="3C3489" w:sz="1"/>
            </w:tcBorders>
            <w:shd w:fill="3C3489"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AUC</w:t>
            </w:r>
          </w:p>
        </w:tc>
      </w:tr>
      <w:tr>
        <w:tc>
          <w:tcPr>
            <w:tcW w:type="dxa" w:w="1872"/>
            <w:tcBorders>
              <w:top w:val="single" w:color="CCCCCC" w:sz="1"/>
              <w:left w:val="single" w:color="CCCCCC" w:sz="1"/>
              <w:bottom w:val="single" w:color="CCCCCC" w:sz="1"/>
              <w:right w:val="single" w:color="CCCCCC" w:sz="1"/>
            </w:tcBorders>
            <w:shd w:fill="E6F1FB" w:val="clear"/>
            <w:tcMar>
              <w:top w:type="dxa" w:w="65"/>
              <w:left w:type="dxa" w:w="110"/>
              <w:bottom w:type="dxa" w:w="65"/>
              <w:right w:type="dxa" w:w="110"/>
            </w:tcMar>
          </w:tcPr>
          <w:p>
            <w:pPr>
              <w:jc w:val="center"/>
            </w:pPr>
            <w:r>
              <w:rPr>
                <w:rFonts w:ascii="Courier New" w:cs="Courier New" w:eastAsia="Courier New" w:hAnsi="Courier New"/>
                <w:b/>
                <w:bCs/>
                <w:color w:val="185FA5"/>
                <w:sz w:val="18"/>
                <w:szCs w:val="18"/>
              </w:rPr>
              <w:t xml:space="preserve">0.9789</w:t>
            </w:r>
          </w:p>
        </w:tc>
        <w:tc>
          <w:tcPr>
            <w:tcW w:type="dxa" w:w="1872"/>
            <w:tcBorders>
              <w:top w:val="single" w:color="CCCCCC" w:sz="1"/>
              <w:left w:val="single" w:color="CCCCCC" w:sz="1"/>
              <w:bottom w:val="single" w:color="CCCCCC" w:sz="1"/>
              <w:right w:val="single" w:color="CCCCCC" w:sz="1"/>
            </w:tcBorders>
            <w:shd w:fill="E1F5EE" w:val="clear"/>
            <w:tcMar>
              <w:top w:type="dxa" w:w="65"/>
              <w:left w:type="dxa" w:w="110"/>
              <w:bottom w:type="dxa" w:w="65"/>
              <w:right w:type="dxa" w:w="110"/>
            </w:tcMar>
          </w:tcPr>
          <w:p>
            <w:pPr>
              <w:jc w:val="center"/>
            </w:pPr>
            <w:r>
              <w:rPr>
                <w:rFonts w:ascii="Courier New" w:cs="Courier New" w:eastAsia="Courier New" w:hAnsi="Courier New"/>
                <w:b/>
                <w:bCs/>
                <w:color w:val="0F6E56"/>
                <w:sz w:val="18"/>
                <w:szCs w:val="18"/>
              </w:rPr>
              <w:t xml:space="preserve">0.9811</w:t>
            </w:r>
          </w:p>
        </w:tc>
        <w:tc>
          <w:tcPr>
            <w:tcW w:type="dxa" w:w="1872"/>
            <w:tcBorders>
              <w:top w:val="single" w:color="CCCCCC" w:sz="1"/>
              <w:left w:val="single" w:color="CCCCCC" w:sz="1"/>
              <w:bottom w:val="single" w:color="CCCCCC" w:sz="1"/>
              <w:right w:val="single" w:color="CCCCCC" w:sz="1"/>
            </w:tcBorders>
            <w:shd w:fill="FAECE7" w:val="clear"/>
            <w:tcMar>
              <w:top w:type="dxa" w:w="65"/>
              <w:left w:type="dxa" w:w="110"/>
              <w:bottom w:type="dxa" w:w="65"/>
              <w:right w:type="dxa" w:w="110"/>
            </w:tcMar>
          </w:tcPr>
          <w:p>
            <w:pPr>
              <w:jc w:val="center"/>
            </w:pPr>
            <w:r>
              <w:rPr>
                <w:rFonts w:ascii="Courier New" w:cs="Courier New" w:eastAsia="Courier New" w:hAnsi="Courier New"/>
                <w:b/>
                <w:bCs/>
                <w:color w:val="993C1D"/>
                <w:sz w:val="18"/>
                <w:szCs w:val="18"/>
              </w:rPr>
              <w:t xml:space="preserve">0.9621</w:t>
            </w:r>
          </w:p>
        </w:tc>
        <w:tc>
          <w:tcPr>
            <w:tcW w:type="dxa" w:w="1872"/>
            <w:tcBorders>
              <w:top w:val="single" w:color="CCCCCC" w:sz="1"/>
              <w:left w:val="single" w:color="CCCCCC" w:sz="1"/>
              <w:bottom w:val="single" w:color="CCCCCC" w:sz="1"/>
              <w:right w:val="single" w:color="CCCCCC" w:sz="1"/>
            </w:tcBorders>
            <w:shd w:fill="FAEEDA" w:val="clear"/>
            <w:tcMar>
              <w:top w:type="dxa" w:w="65"/>
              <w:left w:type="dxa" w:w="110"/>
              <w:bottom w:type="dxa" w:w="65"/>
              <w:right w:type="dxa" w:w="110"/>
            </w:tcMar>
          </w:tcPr>
          <w:p>
            <w:pPr>
              <w:jc w:val="center"/>
            </w:pPr>
            <w:r>
              <w:rPr>
                <w:rFonts w:ascii="Courier New" w:cs="Courier New" w:eastAsia="Courier New" w:hAnsi="Courier New"/>
                <w:b/>
                <w:bCs/>
                <w:color w:val="854F0B"/>
                <w:sz w:val="18"/>
                <w:szCs w:val="18"/>
              </w:rPr>
              <w:t xml:space="preserve">0.9711</w:t>
            </w:r>
          </w:p>
        </w:tc>
        <w:tc>
          <w:tcPr>
            <w:tcW w:type="dxa" w:w="1872"/>
            <w:tcBorders>
              <w:top w:val="single" w:color="CCCCCC" w:sz="1"/>
              <w:left w:val="single" w:color="CCCCCC" w:sz="1"/>
              <w:bottom w:val="single" w:color="CCCCCC" w:sz="1"/>
              <w:right w:val="single" w:color="CCCCCC" w:sz="1"/>
            </w:tcBorders>
            <w:shd w:fill="EEEDFE" w:val="clear"/>
            <w:tcMar>
              <w:top w:type="dxa" w:w="65"/>
              <w:left w:type="dxa" w:w="110"/>
              <w:bottom w:type="dxa" w:w="65"/>
              <w:right w:type="dxa" w:w="110"/>
            </w:tcMar>
          </w:tcPr>
          <w:p>
            <w:pPr>
              <w:jc w:val="center"/>
            </w:pPr>
            <w:r>
              <w:rPr>
                <w:rFonts w:ascii="Courier New" w:cs="Courier New" w:eastAsia="Courier New" w:hAnsi="Courier New"/>
                <w:b/>
                <w:bCs/>
                <w:color w:val="3C3489"/>
                <w:sz w:val="18"/>
                <w:szCs w:val="18"/>
              </w:rPr>
              <w:t xml:space="preserve">0.9947</w:t>
            </w:r>
          </w:p>
        </w:tc>
      </w:tr>
      <w:tr>
        <w:tc>
          <w:tcPr>
            <w:tcW w:type="dxa" w:w="9360"/>
            <w:gridSpan w:val="5"/>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pPr>
              <w:jc w:val="center"/>
            </w:pPr>
            <w:r>
              <w:rPr>
                <w:rFonts w:ascii="Arial" w:cs="Arial" w:eastAsia="Arial" w:hAnsi="Arial"/>
                <w:color w:val="444441"/>
                <w:sz w:val="17"/>
                <w:szCs w:val="17"/>
              </w:rPr>
              <w:t xml:space="preserve">PCA(10) + Logistic Regression — 10-fold stratified CV — 10 PCs from 30 features (67% reduction)</w:t>
            </w:r>
          </w:p>
        </w:tc>
      </w:tr>
    </w:tbl>
    <w:p>
      <w:pPr>
        <w:spacing w:after="0" w:before="90"/>
      </w:pPr>
      <w:r>
        <w:t xml:space="preserve"/>
      </w:r>
    </w:p>
    <w:p>
      <w:pPr>
        <w:pStyle w:val="Heading1"/>
        <w:spacing w:after="120" w:before="300"/>
      </w:pPr>
      <w:r>
        <w:rPr>
          <w:rFonts w:ascii="Arial" w:cs="Arial" w:eastAsia="Arial" w:hAnsi="Arial"/>
          <w:b/>
          <w:bCs/>
          <w:color w:val="185FA5"/>
          <w:sz w:val="30"/>
          <w:szCs w:val="30"/>
        </w:rPr>
        <w:t xml:space="preserve">7. Advantages and limitations of PCA for feature selection</w:t>
      </w:r>
    </w:p>
    <w:p>
      <w:pPr>
        <w:pStyle w:val="Heading2"/>
        <w:spacing w:after="90" w:before="220"/>
      </w:pPr>
      <w:r>
        <w:rPr>
          <w:rFonts w:ascii="Arial" w:cs="Arial" w:eastAsia="Arial" w:hAnsi="Arial"/>
          <w:b/>
          <w:bCs/>
          <w:color w:val="0F6E56"/>
          <w:sz w:val="24"/>
          <w:szCs w:val="24"/>
        </w:rPr>
        <w:t xml:space="preserve">7.1 Advantages</w:t>
      </w:r>
    </w:p>
    <w:p>
      <w:pPr>
        <w:pStyle w:val="ListParagraph"/>
        <w:numPr>
          <w:ilvl w:val="0"/>
          <w:numId w:val="2"/>
        </w:numPr>
        <w:spacing w:after="38" w:before="38"/>
      </w:pPr>
      <w:r>
        <w:rPr>
          <w:rFonts w:ascii="Arial" w:cs="Arial" w:eastAsia="Arial" w:hAnsi="Arial"/>
          <w:b/>
          <w:bCs/>
          <w:sz w:val="20"/>
          <w:szCs w:val="20"/>
        </w:rPr>
        <w:t xml:space="preserve">Removes multicollinearity: </w:t>
      </w:r>
      <w:r>
        <w:rPr>
          <w:rFonts w:ascii="Arial" w:cs="Arial" w:eastAsia="Arial" w:hAnsi="Arial"/>
          <w:sz w:val="20"/>
          <w:szCs w:val="20"/>
        </w:rPr>
        <w:t xml:space="preserve">PCs are orthogonal by construction — Logistic Regression coefficients become stable and interpretable in PC space</w:t>
      </w:r>
    </w:p>
    <w:p>
      <w:pPr>
        <w:pStyle w:val="ListParagraph"/>
        <w:numPr>
          <w:ilvl w:val="0"/>
          <w:numId w:val="2"/>
        </w:numPr>
        <w:spacing w:after="38" w:before="38"/>
      </w:pPr>
      <w:r>
        <w:rPr>
          <w:rFonts w:ascii="Arial" w:cs="Arial" w:eastAsia="Arial" w:hAnsi="Arial"/>
          <w:b/>
          <w:bCs/>
          <w:sz w:val="20"/>
          <w:szCs w:val="20"/>
        </w:rPr>
        <w:t xml:space="preserve">Noise reduction: </w:t>
      </w:r>
      <w:r>
        <w:rPr>
          <w:rFonts w:ascii="Arial" w:cs="Arial" w:eastAsia="Arial" w:hAnsi="Arial"/>
          <w:sz w:val="20"/>
          <w:szCs w:val="20"/>
        </w:rPr>
        <w:t xml:space="preserve">discarding minor PCs filters out variance associated with measurement noise, which can improve generalisation</w:t>
      </w:r>
    </w:p>
    <w:p>
      <w:pPr>
        <w:pStyle w:val="ListParagraph"/>
        <w:numPr>
          <w:ilvl w:val="0"/>
          <w:numId w:val="2"/>
        </w:numPr>
        <w:spacing w:after="38" w:before="38"/>
      </w:pPr>
      <w:r>
        <w:rPr>
          <w:rFonts w:ascii="Arial" w:cs="Arial" w:eastAsia="Arial" w:hAnsi="Arial"/>
          <w:b/>
          <w:bCs/>
          <w:sz w:val="20"/>
          <w:szCs w:val="20"/>
        </w:rPr>
        <w:t xml:space="preserve">Dimensionality control: </w:t>
      </w:r>
      <w:r>
        <w:rPr>
          <w:rFonts w:ascii="Arial" w:cs="Arial" w:eastAsia="Arial" w:hAnsi="Arial"/>
          <w:sz w:val="20"/>
          <w:szCs w:val="20"/>
        </w:rPr>
        <w:t xml:space="preserve">a single hyperparameter (n_components) controls the compression rate; tuning is straightforward via variance thresholds</w:t>
      </w:r>
    </w:p>
    <w:p>
      <w:pPr>
        <w:pStyle w:val="ListParagraph"/>
        <w:numPr>
          <w:ilvl w:val="0"/>
          <w:numId w:val="2"/>
        </w:numPr>
        <w:spacing w:after="38" w:before="38"/>
      </w:pPr>
      <w:r>
        <w:rPr>
          <w:rFonts w:ascii="Arial" w:cs="Arial" w:eastAsia="Arial" w:hAnsi="Arial"/>
          <w:b/>
          <w:bCs/>
          <w:sz w:val="20"/>
          <w:szCs w:val="20"/>
        </w:rPr>
        <w:t xml:space="preserve">Computational efficiency: </w:t>
      </w:r>
      <w:r>
        <w:rPr>
          <w:rFonts w:ascii="Arial" w:cs="Arial" w:eastAsia="Arial" w:hAnsi="Arial"/>
          <w:sz w:val="20"/>
          <w:szCs w:val="20"/>
        </w:rPr>
        <w:t xml:space="preserve">training Logistic Regression on 10 features is faster and more memory-efficient than on 30</w:t>
      </w:r>
    </w:p>
    <w:p>
      <w:pPr>
        <w:pStyle w:val="ListParagraph"/>
        <w:numPr>
          <w:ilvl w:val="0"/>
          <w:numId w:val="2"/>
        </w:numPr>
        <w:spacing w:after="38" w:before="38"/>
      </w:pPr>
      <w:r>
        <w:rPr>
          <w:rFonts w:ascii="Arial" w:cs="Arial" w:eastAsia="Arial" w:hAnsi="Arial"/>
          <w:b/>
          <w:bCs/>
          <w:sz w:val="20"/>
          <w:szCs w:val="20"/>
        </w:rPr>
        <w:t xml:space="preserve">No feature selection needed first: </w:t>
      </w:r>
      <w:r>
        <w:rPr>
          <w:rFonts w:ascii="Arial" w:cs="Arial" w:eastAsia="Arial" w:hAnsi="Arial"/>
          <w:sz w:val="20"/>
          <w:szCs w:val="20"/>
        </w:rPr>
        <w:t xml:space="preserve">PCA uses all 30 features together — it does not require pre-selecting which ones to include</w:t>
      </w:r>
    </w:p>
    <w:p>
      <w:pPr>
        <w:spacing w:after="0" w:before="80"/>
      </w:pPr>
      <w:r>
        <w:t xml:space="preserve"/>
      </w:r>
    </w:p>
    <w:p>
      <w:pPr>
        <w:pStyle w:val="Heading2"/>
        <w:spacing w:after="90" w:before="220"/>
      </w:pPr>
      <w:r>
        <w:rPr>
          <w:rFonts w:ascii="Arial" w:cs="Arial" w:eastAsia="Arial" w:hAnsi="Arial"/>
          <w:b/>
          <w:bCs/>
          <w:color w:val="0F6E56"/>
          <w:sz w:val="24"/>
          <w:szCs w:val="24"/>
        </w:rPr>
        <w:t xml:space="preserve">7.2 Limitations</w:t>
      </w:r>
    </w:p>
    <w:p>
      <w:pPr>
        <w:pStyle w:val="ListParagraph"/>
        <w:numPr>
          <w:ilvl w:val="0"/>
          <w:numId w:val="2"/>
        </w:numPr>
        <w:spacing w:after="38" w:before="38"/>
      </w:pPr>
      <w:r>
        <w:rPr>
          <w:rFonts w:ascii="Arial" w:cs="Arial" w:eastAsia="Arial" w:hAnsi="Arial"/>
          <w:b/>
          <w:bCs/>
          <w:sz w:val="20"/>
          <w:szCs w:val="20"/>
        </w:rPr>
        <w:t xml:space="preserve">Loss of interpretability: </w:t>
      </w:r>
      <w:r>
        <w:rPr>
          <w:rFonts w:ascii="Arial" w:cs="Arial" w:eastAsia="Arial" w:hAnsi="Arial"/>
          <w:sz w:val="20"/>
          <w:szCs w:val="20"/>
        </w:rPr>
        <w:t xml:space="preserve">PCs are linear combinations of all original features. Unlike CFS or ReliefF, you cannot say 'the model uses glucose and BMI' — you can only say 'the model uses PC1, which is dominated by size features'</w:t>
      </w:r>
    </w:p>
    <w:p>
      <w:pPr>
        <w:pStyle w:val="ListParagraph"/>
        <w:numPr>
          <w:ilvl w:val="0"/>
          <w:numId w:val="2"/>
        </w:numPr>
        <w:spacing w:after="38" w:before="38"/>
      </w:pPr>
      <w:r>
        <w:rPr>
          <w:rFonts w:ascii="Arial" w:cs="Arial" w:eastAsia="Arial" w:hAnsi="Arial"/>
          <w:b/>
          <w:bCs/>
          <w:sz w:val="20"/>
          <w:szCs w:val="20"/>
        </w:rPr>
        <w:t xml:space="preserve">Unsupervised: </w:t>
      </w:r>
      <w:r>
        <w:rPr>
          <w:rFonts w:ascii="Arial" w:cs="Arial" w:eastAsia="Arial" w:hAnsi="Arial"/>
          <w:sz w:val="20"/>
          <w:szCs w:val="20"/>
        </w:rPr>
        <w:t xml:space="preserve">PCA finds directions of maximum variance, not maximum class separation. A feature with high variance but no class signal will still load strongly onto early PCs</w:t>
      </w:r>
    </w:p>
    <w:p>
      <w:pPr>
        <w:pStyle w:val="ListParagraph"/>
        <w:numPr>
          <w:ilvl w:val="0"/>
          <w:numId w:val="2"/>
        </w:numPr>
        <w:spacing w:after="38" w:before="38"/>
      </w:pPr>
      <w:r>
        <w:rPr>
          <w:rFonts w:ascii="Arial" w:cs="Arial" w:eastAsia="Arial" w:hAnsi="Arial"/>
          <w:b/>
          <w:bCs/>
          <w:sz w:val="20"/>
          <w:szCs w:val="20"/>
        </w:rPr>
        <w:t xml:space="preserve">Assumes linearity: </w:t>
      </w:r>
      <w:r>
        <w:rPr>
          <w:rFonts w:ascii="Arial" w:cs="Arial" w:eastAsia="Arial" w:hAnsi="Arial"/>
          <w:sz w:val="20"/>
          <w:szCs w:val="20"/>
        </w:rPr>
        <w:t xml:space="preserve">PCA captures only linear relationships between features. Non-linear structure (e.g. clusters, arcs) is ignored</w:t>
      </w:r>
    </w:p>
    <w:p>
      <w:pPr>
        <w:pStyle w:val="ListParagraph"/>
        <w:numPr>
          <w:ilvl w:val="0"/>
          <w:numId w:val="2"/>
        </w:numPr>
        <w:spacing w:after="38" w:before="38"/>
      </w:pPr>
      <w:r>
        <w:rPr>
          <w:rFonts w:ascii="Arial" w:cs="Arial" w:eastAsia="Arial" w:hAnsi="Arial"/>
          <w:b/>
          <w:bCs/>
          <w:sz w:val="20"/>
          <w:szCs w:val="20"/>
        </w:rPr>
        <w:t xml:space="preserve">Sensitive to scaling: </w:t>
      </w:r>
      <w:r>
        <w:rPr>
          <w:rFonts w:ascii="Arial" w:cs="Arial" w:eastAsia="Arial" w:hAnsi="Arial"/>
          <w:sz w:val="20"/>
          <w:szCs w:val="20"/>
        </w:rPr>
        <w:t xml:space="preserve">StandardScaler is mandatory. Without it, features on larger scales dominate all PCs regardless of their information content</w:t>
      </w:r>
    </w:p>
    <w:p>
      <w:pPr>
        <w:pStyle w:val="ListParagraph"/>
        <w:numPr>
          <w:ilvl w:val="0"/>
          <w:numId w:val="2"/>
        </w:numPr>
        <w:spacing w:after="38" w:before="38"/>
      </w:pPr>
      <w:r>
        <w:rPr>
          <w:rFonts w:ascii="Arial" w:cs="Arial" w:eastAsia="Arial" w:hAnsi="Arial"/>
          <w:b/>
          <w:bCs/>
          <w:sz w:val="20"/>
          <w:szCs w:val="20"/>
        </w:rPr>
        <w:t xml:space="preserve">Not sparse: </w:t>
      </w:r>
      <w:r>
        <w:rPr>
          <w:rFonts w:ascii="Arial" w:cs="Arial" w:eastAsia="Arial" w:hAnsi="Arial"/>
          <w:sz w:val="20"/>
          <w:szCs w:val="20"/>
        </w:rPr>
        <w:t xml:space="preserve">every PC uses all 30 original features with non-zero weights. Methods like LASSO produce truly sparse models (exact zeros); PCA does not</w:t>
      </w:r>
    </w:p>
    <w:p>
      <w:pPr>
        <w:spacing w:after="0" w:before="90"/>
      </w:pPr>
      <w:r>
        <w:t xml:space="preserve"/>
      </w:r>
    </w:p>
    <w:p>
      <w:pPr>
        <w:pStyle w:val="Heading1"/>
        <w:spacing w:after="120" w:before="300"/>
      </w:pPr>
      <w:r>
        <w:rPr>
          <w:rFonts w:ascii="Arial" w:cs="Arial" w:eastAsia="Arial" w:hAnsi="Arial"/>
          <w:b/>
          <w:bCs/>
          <w:color w:val="185FA5"/>
          <w:sz w:val="30"/>
          <w:szCs w:val="30"/>
        </w:rPr>
        <w:t xml:space="preserve">8. PCA vs filter-based feature selection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2C2C2A" w:sz="1"/>
              <w:left w:val="single" w:color="2C2C2A" w:sz="1"/>
              <w:bottom w:val="single" w:color="2C2C2A" w:sz="1"/>
              <w:right w:val="single" w:color="2C2C2A" w:sz="1"/>
            </w:tcBorders>
            <w:shd w:fill="2C2C2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Property</w:t>
            </w:r>
          </w:p>
        </w:tc>
        <w:tc>
          <w:tcPr>
            <w:tcW w:type="dxa" w:w="1840"/>
            <w:tcBorders>
              <w:top w:val="single" w:color="185FA5" w:sz="1"/>
              <w:left w:val="single" w:color="185FA5" w:sz="1"/>
              <w:bottom w:val="single" w:color="185FA5" w:sz="1"/>
              <w:right w:val="single" w:color="185FA5" w:sz="1"/>
            </w:tcBorders>
            <w:shd w:fill="185FA5"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PCA</w:t>
            </w:r>
          </w:p>
        </w:tc>
        <w:tc>
          <w:tcPr>
            <w:tcW w:type="dxa" w:w="1840"/>
            <w:tcBorders>
              <w:top w:val="single" w:color="0F6E56" w:sz="1"/>
              <w:left w:val="single" w:color="0F6E56" w:sz="1"/>
              <w:bottom w:val="single" w:color="0F6E56" w:sz="1"/>
              <w:right w:val="single" w:color="0F6E56" w:sz="1"/>
            </w:tcBorders>
            <w:shd w:fill="0F6E56"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Pearson/ANOVA</w:t>
            </w:r>
          </w:p>
        </w:tc>
        <w:tc>
          <w:tcPr>
            <w:tcW w:type="dxa" w:w="1840"/>
            <w:tcBorders>
              <w:top w:val="single" w:color="993C1D" w:sz="1"/>
              <w:left w:val="single" w:color="993C1D" w:sz="1"/>
              <w:bottom w:val="single" w:color="993C1D" w:sz="1"/>
              <w:right w:val="single" w:color="993C1D" w:sz="1"/>
            </w:tcBorders>
            <w:shd w:fill="993C1D"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CFS</w:t>
            </w:r>
          </w:p>
        </w:tc>
        <w:tc>
          <w:tcPr>
            <w:tcW w:type="dxa" w:w="1840"/>
            <w:tcBorders>
              <w:top w:val="single" w:color="854F0B" w:sz="1"/>
              <w:left w:val="single" w:color="854F0B" w:sz="1"/>
              <w:bottom w:val="single" w:color="854F0B" w:sz="1"/>
              <w:right w:val="single" w:color="854F0B" w:sz="1"/>
            </w:tcBorders>
            <w:shd w:fill="854F0B"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ReliefF</w:t>
            </w:r>
          </w:p>
        </w:tc>
      </w:tr>
      <w:tr>
        <w:tc>
          <w:tcPr>
            <w:tcW w:type="dxa" w:w="20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bCs/>
                <w:color w:val="000000"/>
                <w:sz w:val="18"/>
                <w:szCs w:val="18"/>
              </w:rPr>
              <w:t xml:space="preserve">Approach</w:t>
            </w:r>
          </w:p>
        </w:tc>
        <w:tc>
          <w:tcPr>
            <w:tcW w:type="dxa" w:w="1840"/>
            <w:tcBorders>
              <w:top w:val="single" w:color="CCCCCC" w:sz="1"/>
              <w:left w:val="single" w:color="CCCCCC" w:sz="1"/>
              <w:bottom w:val="single" w:color="CCCCCC" w:sz="1"/>
              <w:right w:val="single" w:color="CCCCCC" w:sz="1"/>
            </w:tcBorders>
            <w:shd w:fill="E6F1FB" w:val="clear"/>
            <w:tcMar>
              <w:top w:type="dxa" w:w="65"/>
              <w:left w:type="dxa" w:w="110"/>
              <w:bottom w:type="dxa" w:w="65"/>
              <w:right w:type="dxa" w:w="110"/>
            </w:tcMar>
          </w:tcPr>
          <w:p>
            <w:pPr>
              <w:jc w:val="left"/>
            </w:pPr>
            <w:r>
              <w:rPr>
                <w:rFonts w:ascii="Arial" w:cs="Arial" w:eastAsia="Arial" w:hAnsi="Arial"/>
                <w:b w:val="false"/>
                <w:bCs w:val="false"/>
                <w:color w:val="185FA5"/>
                <w:sz w:val="18"/>
                <w:szCs w:val="18"/>
              </w:rPr>
              <w:t xml:space="preserve">Transforms features</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Ranks features</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Evaluates subsets</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Weights features</w:t>
            </w:r>
          </w:p>
        </w:tc>
      </w:tr>
      <w:tr>
        <w:tc>
          <w:tcPr>
            <w:tcW w:type="dxa" w:w="2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bCs/>
                <w:color w:val="000000"/>
                <w:sz w:val="18"/>
                <w:szCs w:val="18"/>
              </w:rPr>
              <w:t xml:space="preserve">Uses class label?</w:t>
            </w:r>
          </w:p>
        </w:tc>
        <w:tc>
          <w:tcPr>
            <w:tcW w:type="dxa" w:w="1840"/>
            <w:tcBorders>
              <w:top w:val="single" w:color="CCCCCC" w:sz="1"/>
              <w:left w:val="single" w:color="CCCCCC" w:sz="1"/>
              <w:bottom w:val="single" w:color="CCCCCC" w:sz="1"/>
              <w:right w:val="single" w:color="CCCCCC" w:sz="1"/>
            </w:tcBorders>
            <w:shd w:fill="E6F1FB" w:val="clear"/>
            <w:tcMar>
              <w:top w:type="dxa" w:w="65"/>
              <w:left w:type="dxa" w:w="110"/>
              <w:bottom w:type="dxa" w:w="65"/>
              <w:right w:type="dxa" w:w="110"/>
            </w:tcMar>
          </w:tcPr>
          <w:p>
            <w:pPr>
              <w:jc w:val="left"/>
            </w:pPr>
            <w:r>
              <w:rPr>
                <w:rFonts w:ascii="Arial" w:cs="Arial" w:eastAsia="Arial" w:hAnsi="Arial"/>
                <w:b w:val="false"/>
                <w:bCs w:val="false"/>
                <w:color w:val="185FA5"/>
                <w:sz w:val="18"/>
                <w:szCs w:val="18"/>
              </w:rPr>
              <w:t xml:space="preserve">No (unsupervised)</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Yes</w:t>
            </w:r>
          </w:p>
        </w:tc>
      </w:tr>
      <w:tr>
        <w:tc>
          <w:tcPr>
            <w:tcW w:type="dxa" w:w="20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bCs/>
                <w:color w:val="000000"/>
                <w:sz w:val="18"/>
                <w:szCs w:val="18"/>
              </w:rPr>
              <w:t xml:space="preserve">Output</w:t>
            </w:r>
          </w:p>
        </w:tc>
        <w:tc>
          <w:tcPr>
            <w:tcW w:type="dxa" w:w="1840"/>
            <w:tcBorders>
              <w:top w:val="single" w:color="CCCCCC" w:sz="1"/>
              <w:left w:val="single" w:color="CCCCCC" w:sz="1"/>
              <w:bottom w:val="single" w:color="CCCCCC" w:sz="1"/>
              <w:right w:val="single" w:color="CCCCCC" w:sz="1"/>
            </w:tcBorders>
            <w:shd w:fill="E6F1FB" w:val="clear"/>
            <w:tcMar>
              <w:top w:type="dxa" w:w="65"/>
              <w:left w:type="dxa" w:w="110"/>
              <w:bottom w:type="dxa" w:w="65"/>
              <w:right w:type="dxa" w:w="110"/>
            </w:tcMar>
          </w:tcPr>
          <w:p>
            <w:pPr>
              <w:jc w:val="left"/>
            </w:pPr>
            <w:r>
              <w:rPr>
                <w:rFonts w:ascii="Arial" w:cs="Arial" w:eastAsia="Arial" w:hAnsi="Arial"/>
                <w:b w:val="false"/>
                <w:bCs w:val="false"/>
                <w:color w:val="185FA5"/>
                <w:sz w:val="18"/>
                <w:szCs w:val="18"/>
              </w:rPr>
              <w:t xml:space="preserve">New PC axes</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Ranked list</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Selected subset</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Weighted list</w:t>
            </w:r>
          </w:p>
        </w:tc>
      </w:tr>
      <w:tr>
        <w:tc>
          <w:tcPr>
            <w:tcW w:type="dxa" w:w="2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bCs/>
                <w:color w:val="000000"/>
                <w:sz w:val="18"/>
                <w:szCs w:val="18"/>
              </w:rPr>
              <w:t xml:space="preserve">Interpretability</w:t>
            </w:r>
          </w:p>
        </w:tc>
        <w:tc>
          <w:tcPr>
            <w:tcW w:type="dxa" w:w="1840"/>
            <w:tcBorders>
              <w:top w:val="single" w:color="CCCCCC" w:sz="1"/>
              <w:left w:val="single" w:color="CCCCCC" w:sz="1"/>
              <w:bottom w:val="single" w:color="CCCCCC" w:sz="1"/>
              <w:right w:val="single" w:color="CCCCCC" w:sz="1"/>
            </w:tcBorders>
            <w:shd w:fill="E6F1FB" w:val="clear"/>
            <w:tcMar>
              <w:top w:type="dxa" w:w="65"/>
              <w:left w:type="dxa" w:w="110"/>
              <w:bottom w:type="dxa" w:w="65"/>
              <w:right w:type="dxa" w:w="110"/>
            </w:tcMar>
          </w:tcPr>
          <w:p>
            <w:pPr>
              <w:jc w:val="left"/>
            </w:pPr>
            <w:r>
              <w:rPr>
                <w:rFonts w:ascii="Arial" w:cs="Arial" w:eastAsia="Arial" w:hAnsi="Arial"/>
                <w:b w:val="false"/>
                <w:bCs w:val="false"/>
                <w:color w:val="185FA5"/>
                <w:sz w:val="18"/>
                <w:szCs w:val="18"/>
              </w:rPr>
              <w:t xml:space="preserve">Low — PCs are composites</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High</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High</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bCs/>
                <w:color w:val="000000"/>
                <w:sz w:val="18"/>
                <w:szCs w:val="18"/>
              </w:rPr>
              <w:t xml:space="preserve">Handles redundancy</w:t>
            </w:r>
          </w:p>
        </w:tc>
        <w:tc>
          <w:tcPr>
            <w:tcW w:type="dxa" w:w="1840"/>
            <w:tcBorders>
              <w:top w:val="single" w:color="CCCCCC" w:sz="1"/>
              <w:left w:val="single" w:color="CCCCCC" w:sz="1"/>
              <w:bottom w:val="single" w:color="CCCCCC" w:sz="1"/>
              <w:right w:val="single" w:color="CCCCCC" w:sz="1"/>
            </w:tcBorders>
            <w:shd w:fill="E6F1FB" w:val="clear"/>
            <w:tcMar>
              <w:top w:type="dxa" w:w="65"/>
              <w:left w:type="dxa" w:w="110"/>
              <w:bottom w:type="dxa" w:w="65"/>
              <w:right w:type="dxa" w:w="110"/>
            </w:tcMar>
          </w:tcPr>
          <w:p>
            <w:pPr>
              <w:jc w:val="left"/>
            </w:pPr>
            <w:r>
              <w:rPr>
                <w:rFonts w:ascii="Arial" w:cs="Arial" w:eastAsia="Arial" w:hAnsi="Arial"/>
                <w:b w:val="false"/>
                <w:bCs w:val="false"/>
                <w:color w:val="185FA5"/>
                <w:sz w:val="18"/>
                <w:szCs w:val="18"/>
              </w:rPr>
              <w:t xml:space="preserve">Yes (orthogonal PCs)</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No</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Yes</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Partially</w:t>
            </w:r>
          </w:p>
        </w:tc>
      </w:tr>
      <w:tr>
        <w:tc>
          <w:tcPr>
            <w:tcW w:type="dxa" w:w="2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bCs/>
                <w:color w:val="000000"/>
                <w:sz w:val="18"/>
                <w:szCs w:val="18"/>
              </w:rPr>
              <w:t xml:space="preserve">Dimensionality</w:t>
            </w:r>
          </w:p>
        </w:tc>
        <w:tc>
          <w:tcPr>
            <w:tcW w:type="dxa" w:w="1840"/>
            <w:tcBorders>
              <w:top w:val="single" w:color="CCCCCC" w:sz="1"/>
              <w:left w:val="single" w:color="CCCCCC" w:sz="1"/>
              <w:bottom w:val="single" w:color="CCCCCC" w:sz="1"/>
              <w:right w:val="single" w:color="CCCCCC" w:sz="1"/>
            </w:tcBorders>
            <w:shd w:fill="E6F1FB" w:val="clear"/>
            <w:tcMar>
              <w:top w:type="dxa" w:w="65"/>
              <w:left w:type="dxa" w:w="110"/>
              <w:bottom w:type="dxa" w:w="65"/>
              <w:right w:type="dxa" w:w="110"/>
            </w:tcMar>
          </w:tcPr>
          <w:p>
            <w:pPr>
              <w:jc w:val="left"/>
            </w:pPr>
            <w:r>
              <w:rPr>
                <w:rFonts w:ascii="Arial" w:cs="Arial" w:eastAsia="Arial" w:hAnsi="Arial"/>
                <w:b w:val="false"/>
                <w:bCs w:val="false"/>
                <w:color w:val="185FA5"/>
                <w:sz w:val="18"/>
                <w:szCs w:val="18"/>
              </w:rPr>
              <w:t xml:space="preserve">Continuous control</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Top-K selection</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Greedy subset</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Top-K selection</w:t>
            </w:r>
          </w:p>
        </w:tc>
      </w:tr>
      <w:tr>
        <w:tc>
          <w:tcPr>
            <w:tcW w:type="dxa" w:w="200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bCs/>
                <w:color w:val="000000"/>
                <w:sz w:val="18"/>
                <w:szCs w:val="18"/>
              </w:rPr>
              <w:t xml:space="preserve">AUC (10 features)</w:t>
            </w:r>
          </w:p>
        </w:tc>
        <w:tc>
          <w:tcPr>
            <w:tcW w:type="dxa" w:w="1840"/>
            <w:tcBorders>
              <w:top w:val="single" w:color="CCCCCC" w:sz="1"/>
              <w:left w:val="single" w:color="CCCCCC" w:sz="1"/>
              <w:bottom w:val="single" w:color="CCCCCC" w:sz="1"/>
              <w:right w:val="single" w:color="CCCCCC" w:sz="1"/>
            </w:tcBorders>
            <w:shd w:fill="E6F1FB" w:val="clear"/>
            <w:tcMar>
              <w:top w:type="dxa" w:w="65"/>
              <w:left w:type="dxa" w:w="110"/>
              <w:bottom w:type="dxa" w:w="65"/>
              <w:right w:type="dxa" w:w="110"/>
            </w:tcMar>
          </w:tcPr>
          <w:p>
            <w:pPr>
              <w:jc w:val="left"/>
            </w:pPr>
            <w:r>
              <w:rPr>
                <w:rFonts w:ascii="Arial" w:cs="Arial" w:eastAsia="Arial" w:hAnsi="Arial"/>
                <w:b w:val="false"/>
                <w:bCs w:val="false"/>
                <w:color w:val="185FA5"/>
                <w:sz w:val="18"/>
                <w:szCs w:val="18"/>
              </w:rPr>
              <w:t xml:space="preserve">0.9947 (PC10)</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0.9885</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0.9860 (2 feats)</w:t>
            </w:r>
          </w:p>
        </w:tc>
        <w:tc>
          <w:tcPr>
            <w:tcW w:type="dxa" w:w="1840"/>
            <w:tcBorders>
              <w:top w:val="single" w:color="CCCCCC" w:sz="1"/>
              <w:left w:val="single" w:color="CCCCCC" w:sz="1"/>
              <w:bottom w:val="single" w:color="CCCCCC" w:sz="1"/>
              <w:right w:val="single" w:color="CCCCCC" w:sz="1"/>
            </w:tcBorders>
            <w:shd w:fill="F1EFE8"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0.9937</w:t>
            </w:r>
          </w:p>
        </w:tc>
      </w:tr>
      <w:tr>
        <w:tc>
          <w:tcPr>
            <w:tcW w:type="dxa" w:w="2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bCs/>
                <w:color w:val="000000"/>
                <w:sz w:val="18"/>
                <w:szCs w:val="18"/>
              </w:rPr>
              <w:t xml:space="preserve">Best use case</w:t>
            </w:r>
          </w:p>
        </w:tc>
        <w:tc>
          <w:tcPr>
            <w:tcW w:type="dxa" w:w="1840"/>
            <w:tcBorders>
              <w:top w:val="single" w:color="CCCCCC" w:sz="1"/>
              <w:left w:val="single" w:color="CCCCCC" w:sz="1"/>
              <w:bottom w:val="single" w:color="CCCCCC" w:sz="1"/>
              <w:right w:val="single" w:color="CCCCCC" w:sz="1"/>
            </w:tcBorders>
            <w:shd w:fill="E6F1FB" w:val="clear"/>
            <w:tcMar>
              <w:top w:type="dxa" w:w="65"/>
              <w:left w:type="dxa" w:w="110"/>
              <w:bottom w:type="dxa" w:w="65"/>
              <w:right w:type="dxa" w:w="110"/>
            </w:tcMar>
          </w:tcPr>
          <w:p>
            <w:pPr>
              <w:jc w:val="left"/>
            </w:pPr>
            <w:r>
              <w:rPr>
                <w:rFonts w:ascii="Arial" w:cs="Arial" w:eastAsia="Arial" w:hAnsi="Arial"/>
                <w:b w:val="false"/>
                <w:bCs w:val="false"/>
                <w:color w:val="185FA5"/>
                <w:sz w:val="18"/>
                <w:szCs w:val="18"/>
              </w:rPr>
              <w:t xml:space="preserve">Collinear continuous features</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Quick screening</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Compact deployable model</w:t>
            </w:r>
          </w:p>
        </w:tc>
        <w:tc>
          <w:tcPr>
            <w:tcW w:type="dxa" w:w="184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pPr>
              <w:jc w:val="left"/>
            </w:pPr>
            <w:r>
              <w:rPr>
                <w:rFonts w:ascii="Arial" w:cs="Arial" w:eastAsia="Arial" w:hAnsi="Arial"/>
                <w:b w:val="false"/>
                <w:bCs w:val="false"/>
                <w:color w:val="000000"/>
                <w:sz w:val="18"/>
                <w:szCs w:val="18"/>
              </w:rPr>
              <w:t xml:space="preserve">Non-linear interactions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8"/>
              <w:bottom w:val="single" w:color="0F6E56" w:sz="1"/>
              <w:right w:val="single" w:color="0F6E56" w:sz="1"/>
            </w:tcBorders>
            <w:shd w:fill="E1F5EE" w:val="clear"/>
            <w:tcMar>
              <w:top w:type="dxa" w:w="110"/>
              <w:left w:type="dxa" w:w="180"/>
              <w:bottom w:type="dxa" w:w="110"/>
              <w:right w:type="dxa" w:w="180"/>
            </w:tcMar>
          </w:tcPr>
          <w:p>
            <w:pPr>
              <w:spacing w:after="55" w:before="0"/>
            </w:pPr>
            <w:r>
              <w:rPr>
                <w:rFonts w:ascii="Arial" w:cs="Arial" w:eastAsia="Arial" w:hAnsi="Arial"/>
                <w:b/>
                <w:bCs/>
                <w:color w:val="0F6E56"/>
                <w:sz w:val="19"/>
                <w:szCs w:val="19"/>
              </w:rPr>
              <w:t xml:space="preserve">Bottom line</w:t>
            </w:r>
          </w:p>
          <w:p>
            <w:pPr>
              <w:spacing w:after="0" w:before="0"/>
            </w:pPr>
            <w:r>
              <w:rPr>
                <w:rFonts w:ascii="Arial" w:cs="Arial" w:eastAsia="Arial" w:hAnsi="Arial"/>
                <w:sz w:val="19"/>
                <w:szCs w:val="19"/>
              </w:rPr>
              <w:t xml:space="preserve">PCA achieves the highest AUC among all methods compared in this study (tied with the 30-feature baseline at 0.9947) while reducing dimensionality from 30 to 10 features. The trade-off is interpretability: unlike CFS's 2-feature model or ReliefF's ranked list, PCA components cannot be directly mapped back to clinically meaningful measurements.</w:t>
            </w:r>
          </w:p>
        </w:tc>
      </w:tr>
    </w:tbl>
    <w:p>
      <w:pPr>
        <w:spacing w:after="0" w:before="9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PCA + LR — How many components to keep?</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888888"/>
        <w:sz w:val="16"/>
        <w:szCs w:val="16"/>
      </w:rPr>
      <w:t xml:space="preserve">PCA + Logistic Regression — Wisconsin Breast Cancer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0"/>
      <w:szCs w:val="30"/>
    </w:rPr>
  </w:style>
  <w:style w:type="paragraph" w:styleId="Heading2">
    <w:name w:val="Heading 2"/>
    <w:basedOn w:val="Normal"/>
    <w:next w:val="Normal"/>
    <w:qFormat/>
    <w:pPr>
      <w:spacing w:after="90" w:before="220"/>
      <w:outlineLvl w:val="1"/>
    </w:pPr>
    <w:rPr>
      <w:rFonts w:ascii="Arial" w:cs="Arial" w:eastAsia="Arial" w:hAnsi="Arial"/>
      <w:b/>
      <w:bCs/>
      <w:sz w:val="24"/>
      <w:szCs w:val="24"/>
    </w:rPr>
  </w:style>
  <w:style w:type="paragraph" w:styleId="Heading3">
    <w:name w:val="Heading 3"/>
    <w:basedOn w:val="Normal"/>
    <w:next w:val="Normal"/>
    <w:qFormat/>
    <w:pPr>
      <w:spacing w:after="70" w:before="1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89c4ef11a320bc465b2f1beb2d5da26a3988cb.png"/><Relationship Id="rId10" Type="http://schemas.openxmlformats.org/officeDocument/2006/relationships/image" Target="media/7841069af03e4bbd92de0a73d220dae7a35f33a9.png"/><Relationship Id="rId11" Type="http://schemas.openxmlformats.org/officeDocument/2006/relationships/image" Target="media/32b9da2b64e33da3fd2ef6fcba0adc76f4194a0c.png"/><Relationship Id="rId12" Type="http://schemas.openxmlformats.org/officeDocument/2006/relationships/image" Target="media/6598f208c92b054bb969d4b3bb98ed87895de8f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2026-05-21T18:02:51.066Z</dcterms:created>
  <dcterms:modified xsi:type="dcterms:W3CDTF">2026-05-21T18:02:51.076Z</dcterms:modified>
</cp:coreProperties>
</file>

<file path=docProps/custom.xml><?xml version="1.0" encoding="utf-8"?>
<Properties xmlns="http://schemas.openxmlformats.org/officeDocument/2006/custom-properties" xmlns:vt="http://schemas.openxmlformats.org/officeDocument/2006/docPropsVTypes"/>
</file>