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Task 1.1</w:t>
      </w:r>
    </w:p>
    <w:p>
      <w:r>
        <w:t>Leo Sanchez — DANA 4830</w:t>
      </w:r>
    </w:p>
    <w:p>
      <w:r>
        <w:t>Rosati et al. (2024) review a statistics-first bioinformatics pipeline: quality</w:t>
        <w:br/>
        <w:t>control, normalization, differential expression, multiple-testing control (FDR),</w:t>
        <w:br/>
        <w:t>pathway enrichment, then ROC/AUC and, when follow-up exists, survival models. The</w:t>
        <w:br/>
        <w:t>scientific question is *which genes are differentially expressed* and what biology</w:t>
        <w:br/>
        <w:t>they point to. Depending on the assay, that DGE step may use edgeR (TMM + negative</w:t>
        <w:br/>
        <w:t>binomial), DESeq2 (median-of-ratios + negative binomial), NOISeq, SAMseq, or limma</w:t>
        <w:br/>
        <w:t>(linear models with empirical Bayes). GSE75214 is a microarray of log2 intensities,</w:t>
        <w:br/>
        <w:t>not raw RNA-seq counts, so limma is the appropriate tool here; swapping in DESeq2</w:t>
        <w:br/>
        <w:t>or edgeR would be methodologically wrong for this matrix.</w:t>
        <w:br/>
        <w:br/>
        <w:t>Syed et al. (2024), which Midterm 1 replicated as `syed_pipeline`, ask a different</w:t>
        <w:br/>
        <w:t>question: *which small subset best predicts class*? After DEG filtering, four</w:t>
        <w:br/>
        <w:t>feature-selection methods (mutual information, RFECV, elastic net, gradient boosting)</w:t>
        <w:br/>
        <w:t>are combined into a compact panel, class imbalance is treated (SMOTE or RUS plus</w:t>
        <w:br/>
        <w:t>weights), and classifiers are scored with CV metrics. Linear PCA can visualize</w:t>
        <w:br/>
        <w:t>samples; a VAE is a possible nonlinear reducer but is not used here, because latent</w:t>
        <w:br/>
        <w:t>dimensions are no longer named genes and would weaken biomarker interpretability.</w:t>
        <w:br/>
        <w:br/>
        <w:t>The two pipelines do not have to compete. DGE reduces the biological search space</w:t>
        <w:br/>
        <w:t>under FDR control; machine learning then reduces the predictive feature space.</w:t>
        <w:br/>
        <w:t>Evaluation of a classifier uses TP/FP/FN/TN, sensitivity, specificity, and ROC/AUC</w:t>
        <w:br/>
        <w:t>across thresholds — related to, but not the same as, FDR during genome-wide testing.</w:t>
        <w:br/>
        <w:t>On GSE75214 this exam found 535 IBD DEGs (FDR &lt; 0.05, |log2FC| ≥ 1.0) and a 35-gene ML panel after train-only SMOTE. None of the</w:t>
        <w:br/>
        <w:t>eight Midterm 1 breast-cancer Table-3 biomarkers overlapped that IBD DEG set. That</w:t>
        <w:br/>
        <w:t>result does not invalidate the midterm model; it shows that biomarker transfer</w:t>
        <w:br/>
        <w:t>across diseases is limited, so a predictive panel must be learned in the disease</w:t>
        <w:br/>
        <w:t>of interest and then validated, not assumed to be universal.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