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81397" w14:textId="298258FA" w:rsidR="0072122C" w:rsidRDefault="009F1F56" w:rsidP="001506F0">
      <w:pPr>
        <w:spacing w:after="120"/>
      </w:pPr>
      <w:r>
        <w:t xml:space="preserve">The </w:t>
      </w:r>
      <w:proofErr w:type="spellStart"/>
      <w:proofErr w:type="gramStart"/>
      <w:r>
        <w:t>functions.</w:t>
      </w:r>
      <w:r w:rsidR="00E70364">
        <w:t>R</w:t>
      </w:r>
      <w:proofErr w:type="spellEnd"/>
      <w:proofErr w:type="gramEnd"/>
      <w:r w:rsidR="00E70364">
        <w:t xml:space="preserve"> </w:t>
      </w:r>
      <w:r w:rsidR="00132078" w:rsidRPr="00C248CC">
        <w:t>program</w:t>
      </w:r>
      <w:r w:rsidR="00132078">
        <w:t xml:space="preserve"> that</w:t>
      </w:r>
      <w:r w:rsidR="00E70364">
        <w:t xml:space="preserve"> </w:t>
      </w:r>
      <w:r w:rsidR="00132078">
        <w:t>includes</w:t>
      </w:r>
      <w:r w:rsidR="00E70364">
        <w:t xml:space="preserve"> the functions and sample code for implementing the landmark PSH supermodel</w:t>
      </w:r>
      <w:r>
        <w:t>. The</w:t>
      </w:r>
      <w:r w:rsidR="00132078">
        <w:t xml:space="preserve"> CSV file </w:t>
      </w:r>
      <w:bookmarkStart w:id="0" w:name="_GoBack"/>
      <w:bookmarkEnd w:id="0"/>
      <w:r w:rsidR="00132078">
        <w:t xml:space="preserve">is </w:t>
      </w:r>
      <w:r w:rsidR="00C248CC">
        <w:t>a simulated</w:t>
      </w:r>
      <w:r w:rsidR="00E70364">
        <w:t xml:space="preserve"> example data </w:t>
      </w:r>
      <w:r w:rsidR="00C248CC">
        <w:t>including a time-fixed binary covariate and a time-dependent continuous covariate.</w:t>
      </w:r>
    </w:p>
    <w:p w14:paraId="4B735CA5" w14:textId="77AD713E" w:rsidR="002215BB" w:rsidRPr="0056195B" w:rsidRDefault="00E85971" w:rsidP="001506F0">
      <w:pPr>
        <w:pStyle w:val="ListParagraph"/>
        <w:numPr>
          <w:ilvl w:val="0"/>
          <w:numId w:val="2"/>
        </w:numPr>
        <w:spacing w:after="120"/>
        <w:contextualSpacing w:val="0"/>
        <w:rPr>
          <w:b/>
        </w:rPr>
      </w:pPr>
      <w:r w:rsidRPr="0056195B">
        <w:rPr>
          <w:b/>
        </w:rPr>
        <w:t>R functions</w:t>
      </w:r>
    </w:p>
    <w:p w14:paraId="15E60C8D" w14:textId="52F8CE2E" w:rsidR="005F07C7" w:rsidRDefault="00CA0718" w:rsidP="00A655DA">
      <w:pPr>
        <w:spacing w:after="120"/>
      </w:pPr>
      <w:r>
        <w:t>In “</w:t>
      </w:r>
      <w:r w:rsidRPr="00CA0718">
        <w:rPr>
          <w:i/>
        </w:rPr>
        <w:t xml:space="preserve">Landmark PSH supermodel sample </w:t>
      </w:r>
      <w:proofErr w:type="spellStart"/>
      <w:proofErr w:type="gramStart"/>
      <w:r w:rsidRPr="00CA0718">
        <w:rPr>
          <w:i/>
        </w:rPr>
        <w:t>code.R</w:t>
      </w:r>
      <w:proofErr w:type="spellEnd"/>
      <w:proofErr w:type="gramEnd"/>
      <w:r>
        <w:t>” file, t</w:t>
      </w:r>
      <w:r w:rsidR="00612C47">
        <w:t xml:space="preserve">here are two functions defined, </w:t>
      </w:r>
      <w:proofErr w:type="spellStart"/>
      <w:r w:rsidR="008507AF" w:rsidRPr="008507AF">
        <w:rPr>
          <w:rFonts w:ascii="Courier" w:hAnsi="Courier"/>
          <w:b/>
          <w:sz w:val="22"/>
        </w:rPr>
        <w:t>Transdata.LM</w:t>
      </w:r>
      <w:proofErr w:type="spellEnd"/>
      <w:r w:rsidR="008507AF" w:rsidRPr="008507AF">
        <w:rPr>
          <w:rFonts w:ascii="Courier" w:hAnsi="Courier"/>
          <w:b/>
          <w:sz w:val="22"/>
        </w:rPr>
        <w:t>()</w:t>
      </w:r>
      <w:r w:rsidR="008507AF" w:rsidRPr="008507AF">
        <w:rPr>
          <w:sz w:val="22"/>
        </w:rPr>
        <w:t xml:space="preserve"> </w:t>
      </w:r>
      <w:r w:rsidR="008507AF">
        <w:t xml:space="preserve">and </w:t>
      </w:r>
      <w:proofErr w:type="spellStart"/>
      <w:r w:rsidR="001506F0" w:rsidRPr="001506F0">
        <w:rPr>
          <w:rFonts w:ascii="Courier" w:hAnsi="Courier"/>
          <w:b/>
          <w:sz w:val="22"/>
        </w:rPr>
        <w:t>Fwpredict</w:t>
      </w:r>
      <w:proofErr w:type="spellEnd"/>
      <w:r w:rsidR="001506F0" w:rsidRPr="001506F0">
        <w:rPr>
          <w:rFonts w:ascii="Courier" w:hAnsi="Courier"/>
          <w:b/>
          <w:sz w:val="22"/>
        </w:rPr>
        <w:t>()</w:t>
      </w:r>
      <w:r w:rsidR="001506F0">
        <w:t>.</w:t>
      </w:r>
    </w:p>
    <w:p w14:paraId="1F92DDD1" w14:textId="357DA5F4" w:rsidR="001506F0" w:rsidRDefault="001506F0" w:rsidP="00A655DA">
      <w:pPr>
        <w:pStyle w:val="ListParagraph"/>
        <w:numPr>
          <w:ilvl w:val="1"/>
          <w:numId w:val="2"/>
        </w:numPr>
        <w:spacing w:after="120"/>
      </w:pPr>
      <w:proofErr w:type="spellStart"/>
      <w:proofErr w:type="gramStart"/>
      <w:r w:rsidRPr="00620E29">
        <w:rPr>
          <w:rFonts w:ascii="Courier" w:hAnsi="Courier"/>
          <w:b/>
          <w:sz w:val="22"/>
        </w:rPr>
        <w:t>Transdata.LM</w:t>
      </w:r>
      <w:proofErr w:type="spellEnd"/>
      <w:r w:rsidRPr="00620E29">
        <w:rPr>
          <w:rFonts w:ascii="Courier" w:hAnsi="Courier"/>
          <w:b/>
          <w:sz w:val="22"/>
        </w:rPr>
        <w:t>(</w:t>
      </w:r>
      <w:proofErr w:type="gramEnd"/>
      <w:r w:rsidRPr="00620E29">
        <w:rPr>
          <w:rFonts w:ascii="Courier" w:hAnsi="Courier"/>
          <w:b/>
          <w:sz w:val="22"/>
        </w:rPr>
        <w:t>)</w:t>
      </w:r>
      <w:r>
        <w:t xml:space="preserve"> is used to transform each landmark subset into counting pro</w:t>
      </w:r>
      <w:r w:rsidR="00FF75AF">
        <w:t>cess format and to add IPCW weight. This function is used in building the stacked super dataset.</w:t>
      </w:r>
    </w:p>
    <w:p w14:paraId="7C484E00" w14:textId="0DE74637" w:rsidR="00377C11" w:rsidRDefault="002C76FB" w:rsidP="00A655DA">
      <w:pPr>
        <w:pStyle w:val="ListParagraph"/>
        <w:numPr>
          <w:ilvl w:val="1"/>
          <w:numId w:val="2"/>
        </w:numPr>
        <w:spacing w:after="120"/>
      </w:pPr>
      <w:proofErr w:type="spellStart"/>
      <w:proofErr w:type="gramStart"/>
      <w:r w:rsidRPr="001506F0">
        <w:rPr>
          <w:rFonts w:ascii="Courier" w:hAnsi="Courier"/>
          <w:b/>
          <w:sz w:val="22"/>
        </w:rPr>
        <w:t>Fwpredict</w:t>
      </w:r>
      <w:proofErr w:type="spellEnd"/>
      <w:r w:rsidRPr="001506F0">
        <w:rPr>
          <w:rFonts w:ascii="Courier" w:hAnsi="Courier"/>
          <w:b/>
          <w:sz w:val="22"/>
        </w:rPr>
        <w:t>(</w:t>
      </w:r>
      <w:proofErr w:type="gramEnd"/>
      <w:r w:rsidRPr="001506F0">
        <w:rPr>
          <w:rFonts w:ascii="Courier" w:hAnsi="Courier"/>
          <w:b/>
          <w:sz w:val="22"/>
        </w:rPr>
        <w:t>)</w:t>
      </w:r>
      <w:r>
        <w:t xml:space="preserve">is used to </w:t>
      </w:r>
      <w:r w:rsidR="005660B5">
        <w:t xml:space="preserve">estimate the dynamic prediction. It calculates the conditional CIF </w:t>
      </w:r>
      <w:r w:rsidR="00047E69">
        <w:t>based on the fitted landmark PSH supermodel.</w:t>
      </w:r>
      <w:r w:rsidR="004E3D3F">
        <w:t xml:space="preserve"> The model form in this function will need to be customized according to the </w:t>
      </w:r>
      <w:r w:rsidR="00B40C16">
        <w:t>specified landmark PSH supermodel.</w:t>
      </w:r>
    </w:p>
    <w:p w14:paraId="23F7750C" w14:textId="238CF9A4" w:rsidR="00F3064B" w:rsidRDefault="00F3064B" w:rsidP="00A655DA">
      <w:pPr>
        <w:spacing w:after="120"/>
      </w:pPr>
      <w:r>
        <w:t xml:space="preserve">In addition, </w:t>
      </w:r>
      <w:r w:rsidR="005D2CBB">
        <w:t xml:space="preserve">the R packages of </w:t>
      </w:r>
      <w:r w:rsidRPr="00F3064B">
        <w:rPr>
          <w:rFonts w:ascii="Courier" w:hAnsi="Courier"/>
          <w:sz w:val="22"/>
        </w:rPr>
        <w:t>survival</w:t>
      </w:r>
      <w:r>
        <w:t xml:space="preserve"> and </w:t>
      </w:r>
      <w:proofErr w:type="spellStart"/>
      <w:r w:rsidRPr="00F3064B">
        <w:rPr>
          <w:rFonts w:ascii="Courier" w:hAnsi="Courier"/>
          <w:sz w:val="22"/>
        </w:rPr>
        <w:t>dynpred</w:t>
      </w:r>
      <w:proofErr w:type="spellEnd"/>
      <w:r w:rsidR="005D2CBB">
        <w:rPr>
          <w:rFonts w:ascii="Courier" w:hAnsi="Courier"/>
          <w:b/>
          <w:sz w:val="22"/>
        </w:rPr>
        <w:t xml:space="preserve"> </w:t>
      </w:r>
      <w:r>
        <w:t>are needed to implement the proposed method.</w:t>
      </w:r>
    </w:p>
    <w:p w14:paraId="23B5F046" w14:textId="10E16E76" w:rsidR="002215BB" w:rsidRPr="0056195B" w:rsidRDefault="00E85971" w:rsidP="001506F0">
      <w:pPr>
        <w:pStyle w:val="ListParagraph"/>
        <w:numPr>
          <w:ilvl w:val="0"/>
          <w:numId w:val="2"/>
        </w:numPr>
        <w:spacing w:after="120"/>
        <w:contextualSpacing w:val="0"/>
        <w:rPr>
          <w:b/>
        </w:rPr>
      </w:pPr>
      <w:r w:rsidRPr="0056195B">
        <w:rPr>
          <w:b/>
        </w:rPr>
        <w:t>Example data</w:t>
      </w:r>
    </w:p>
    <w:p w14:paraId="14F16585" w14:textId="7003F99A" w:rsidR="00E121AA" w:rsidRDefault="00571BDA" w:rsidP="00571BDA">
      <w:pPr>
        <w:spacing w:after="120"/>
      </w:pPr>
      <w:r>
        <w:t>“</w:t>
      </w:r>
      <w:r>
        <w:rPr>
          <w:i/>
        </w:rPr>
        <w:t>Example data.csv</w:t>
      </w:r>
      <w:r>
        <w:t xml:space="preserve">” file contains a simulated </w:t>
      </w:r>
      <w:r w:rsidR="00FF0DC0">
        <w:t xml:space="preserve">competing risks </w:t>
      </w:r>
      <w:r>
        <w:t xml:space="preserve">data </w:t>
      </w:r>
      <w:r w:rsidR="00FF0DC0">
        <w:t>as described in the simulation studies of our paper. There are</w:t>
      </w:r>
      <w:r>
        <w:t xml:space="preserve"> time-fixed binary covariate </w:t>
      </w:r>
      <w:r w:rsidR="009E6858" w:rsidRPr="009A66BD">
        <w:rPr>
          <w:rFonts w:ascii="Courier" w:hAnsi="Courier"/>
        </w:rPr>
        <w:t>z</w:t>
      </w:r>
      <w:r w:rsidR="009E6858">
        <w:t xml:space="preserve"> </w:t>
      </w:r>
      <w:r>
        <w:t>and time-dependent continuous covariate</w:t>
      </w:r>
      <w:r w:rsidR="009E6858">
        <w:rPr>
          <w:rFonts w:ascii="Courier" w:hAnsi="Courier"/>
        </w:rPr>
        <w:t xml:space="preserve"> </w:t>
      </w:r>
      <w:proofErr w:type="spellStart"/>
      <w:r w:rsidR="009E6858">
        <w:rPr>
          <w:rFonts w:ascii="Courier" w:hAnsi="Courier"/>
        </w:rPr>
        <w:t>zt</w:t>
      </w:r>
      <w:proofErr w:type="spellEnd"/>
      <w:r w:rsidR="0037546A">
        <w:t xml:space="preserve">. As illustrated below, </w:t>
      </w:r>
      <w:r w:rsidR="004D145E" w:rsidRPr="009A66BD">
        <w:rPr>
          <w:rFonts w:ascii="Courier" w:hAnsi="Courier"/>
        </w:rPr>
        <w:t>time</w:t>
      </w:r>
      <w:r w:rsidR="004D145E">
        <w:rPr>
          <w:rFonts w:ascii="Courier" w:hAnsi="Courier"/>
        </w:rPr>
        <w:t xml:space="preserve"> </w:t>
      </w:r>
      <w:r w:rsidR="0037546A">
        <w:t xml:space="preserve">is event time, </w:t>
      </w:r>
      <w:r w:rsidR="004D145E" w:rsidRPr="009A66BD">
        <w:rPr>
          <w:rFonts w:ascii="Courier" w:hAnsi="Courier"/>
        </w:rPr>
        <w:t xml:space="preserve">failure </w:t>
      </w:r>
      <w:r w:rsidR="0037546A">
        <w:t xml:space="preserve">indicates the event type (1=main event, 2=competing event, 0=censored), </w:t>
      </w:r>
      <w:proofErr w:type="spellStart"/>
      <w:proofErr w:type="gramStart"/>
      <w:r w:rsidR="0037546A" w:rsidRPr="00CB14CF">
        <w:rPr>
          <w:rFonts w:ascii="Courier" w:hAnsi="Courier"/>
        </w:rPr>
        <w:t>zt.time</w:t>
      </w:r>
      <w:proofErr w:type="spellEnd"/>
      <w:proofErr w:type="gramEnd"/>
      <w:r w:rsidR="0037546A">
        <w:t xml:space="preserve"> is the </w:t>
      </w:r>
      <w:r w:rsidR="00CB14CF">
        <w:t xml:space="preserve">measure </w:t>
      </w:r>
      <w:r w:rsidR="0037546A">
        <w:t xml:space="preserve">time of </w:t>
      </w:r>
      <w:proofErr w:type="spellStart"/>
      <w:r w:rsidR="00DD3532">
        <w:rPr>
          <w:rFonts w:ascii="Courier" w:hAnsi="Courier"/>
        </w:rPr>
        <w:t>zt</w:t>
      </w:r>
      <w:proofErr w:type="spellEnd"/>
      <w:r w:rsidR="0037546A">
        <w:t>.</w:t>
      </w:r>
    </w:p>
    <w:p w14:paraId="3393B8F5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 xml:space="preserve">   </w:t>
      </w:r>
      <w:proofErr w:type="gramStart"/>
      <w:r w:rsidRPr="009A66BD">
        <w:rPr>
          <w:rFonts w:ascii="Courier" w:hAnsi="Courier"/>
        </w:rPr>
        <w:t>id</w:t>
      </w:r>
      <w:proofErr w:type="gramEnd"/>
      <w:r w:rsidRPr="009A66BD">
        <w:rPr>
          <w:rFonts w:ascii="Courier" w:hAnsi="Courier"/>
        </w:rPr>
        <w:t xml:space="preserve">      time failure z  </w:t>
      </w:r>
      <w:proofErr w:type="spellStart"/>
      <w:r w:rsidRPr="009A66BD">
        <w:rPr>
          <w:rFonts w:ascii="Courier" w:hAnsi="Courier"/>
        </w:rPr>
        <w:t>zt.time</w:t>
      </w:r>
      <w:proofErr w:type="spellEnd"/>
      <w:r w:rsidRPr="009A66BD">
        <w:rPr>
          <w:rFonts w:ascii="Courier" w:hAnsi="Courier"/>
        </w:rPr>
        <w:t xml:space="preserve">        </w:t>
      </w:r>
      <w:proofErr w:type="spellStart"/>
      <w:r w:rsidRPr="009A66BD">
        <w:rPr>
          <w:rFonts w:ascii="Courier" w:hAnsi="Courier"/>
        </w:rPr>
        <w:t>zt</w:t>
      </w:r>
      <w:proofErr w:type="spellEnd"/>
    </w:p>
    <w:p w14:paraId="452B6998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 xml:space="preserve">1   </w:t>
      </w:r>
      <w:proofErr w:type="spellStart"/>
      <w:r w:rsidRPr="009A66BD">
        <w:rPr>
          <w:rFonts w:ascii="Courier" w:hAnsi="Courier"/>
        </w:rPr>
        <w:t>1</w:t>
      </w:r>
      <w:proofErr w:type="spellEnd"/>
      <w:r w:rsidRPr="009A66BD">
        <w:rPr>
          <w:rFonts w:ascii="Courier" w:hAnsi="Courier"/>
        </w:rPr>
        <w:t xml:space="preserve"> 3.9269372       1 </w:t>
      </w:r>
      <w:proofErr w:type="spellStart"/>
      <w:r w:rsidRPr="009A66BD">
        <w:rPr>
          <w:rFonts w:ascii="Courier" w:hAnsi="Courier"/>
        </w:rPr>
        <w:t>1</w:t>
      </w:r>
      <w:proofErr w:type="spellEnd"/>
      <w:r w:rsidRPr="009A66BD">
        <w:rPr>
          <w:rFonts w:ascii="Courier" w:hAnsi="Courier"/>
        </w:rPr>
        <w:t xml:space="preserve"> </w:t>
      </w:r>
      <w:proofErr w:type="gramStart"/>
      <w:r w:rsidRPr="009A66BD">
        <w:rPr>
          <w:rFonts w:ascii="Courier" w:hAnsi="Courier"/>
        </w:rPr>
        <w:t>0.000000  2.212530</w:t>
      </w:r>
      <w:proofErr w:type="gramEnd"/>
    </w:p>
    <w:p w14:paraId="2D7EB6D9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 xml:space="preserve">2   1 3.9269372       1 </w:t>
      </w:r>
      <w:proofErr w:type="spellStart"/>
      <w:r w:rsidRPr="009A66BD">
        <w:rPr>
          <w:rFonts w:ascii="Courier" w:hAnsi="Courier"/>
        </w:rPr>
        <w:t>1</w:t>
      </w:r>
      <w:proofErr w:type="spellEnd"/>
      <w:r w:rsidRPr="009A66BD">
        <w:rPr>
          <w:rFonts w:ascii="Courier" w:hAnsi="Courier"/>
        </w:rPr>
        <w:t xml:space="preserve"> </w:t>
      </w:r>
      <w:proofErr w:type="gramStart"/>
      <w:r w:rsidRPr="009A66BD">
        <w:rPr>
          <w:rFonts w:ascii="Courier" w:hAnsi="Courier"/>
        </w:rPr>
        <w:t>1.371795  4.170619</w:t>
      </w:r>
      <w:proofErr w:type="gramEnd"/>
    </w:p>
    <w:p w14:paraId="7139795F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 xml:space="preserve">3   1 3.9269372       1 </w:t>
      </w:r>
      <w:proofErr w:type="spellStart"/>
      <w:r w:rsidRPr="009A66BD">
        <w:rPr>
          <w:rFonts w:ascii="Courier" w:hAnsi="Courier"/>
        </w:rPr>
        <w:t>1</w:t>
      </w:r>
      <w:proofErr w:type="spellEnd"/>
      <w:r w:rsidRPr="009A66BD">
        <w:rPr>
          <w:rFonts w:ascii="Courier" w:hAnsi="Courier"/>
        </w:rPr>
        <w:t xml:space="preserve"> </w:t>
      </w:r>
      <w:proofErr w:type="gramStart"/>
      <w:r w:rsidRPr="009A66BD">
        <w:rPr>
          <w:rFonts w:ascii="Courier" w:hAnsi="Courier"/>
        </w:rPr>
        <w:t>2.112957  5.228548</w:t>
      </w:r>
      <w:proofErr w:type="gramEnd"/>
    </w:p>
    <w:p w14:paraId="44F229D9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 xml:space="preserve">4   1 3.9269372       1 </w:t>
      </w:r>
      <w:proofErr w:type="spellStart"/>
      <w:r w:rsidRPr="009A66BD">
        <w:rPr>
          <w:rFonts w:ascii="Courier" w:hAnsi="Courier"/>
        </w:rPr>
        <w:t>1</w:t>
      </w:r>
      <w:proofErr w:type="spellEnd"/>
      <w:r w:rsidRPr="009A66BD">
        <w:rPr>
          <w:rFonts w:ascii="Courier" w:hAnsi="Courier"/>
        </w:rPr>
        <w:t xml:space="preserve"> </w:t>
      </w:r>
      <w:proofErr w:type="gramStart"/>
      <w:r w:rsidRPr="009A66BD">
        <w:rPr>
          <w:rFonts w:ascii="Courier" w:hAnsi="Courier"/>
        </w:rPr>
        <w:t>3.925255  7.815407</w:t>
      </w:r>
      <w:proofErr w:type="gramEnd"/>
    </w:p>
    <w:p w14:paraId="193C38E2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 xml:space="preserve">5   2 0.4726495       2 0 </w:t>
      </w:r>
      <w:proofErr w:type="gramStart"/>
      <w:r w:rsidRPr="009A66BD">
        <w:rPr>
          <w:rFonts w:ascii="Courier" w:hAnsi="Courier"/>
        </w:rPr>
        <w:t>0.000000  3.754406</w:t>
      </w:r>
      <w:proofErr w:type="gramEnd"/>
    </w:p>
    <w:p w14:paraId="365F01C8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 xml:space="preserve">6   3 3.7873589       1 </w:t>
      </w:r>
      <w:proofErr w:type="spellStart"/>
      <w:r w:rsidRPr="009A66BD">
        <w:rPr>
          <w:rFonts w:ascii="Courier" w:hAnsi="Courier"/>
        </w:rPr>
        <w:t>1</w:t>
      </w:r>
      <w:proofErr w:type="spellEnd"/>
      <w:r w:rsidRPr="009A66BD">
        <w:rPr>
          <w:rFonts w:ascii="Courier" w:hAnsi="Courier"/>
        </w:rPr>
        <w:t xml:space="preserve"> </w:t>
      </w:r>
      <w:proofErr w:type="gramStart"/>
      <w:r w:rsidRPr="009A66BD">
        <w:rPr>
          <w:rFonts w:ascii="Courier" w:hAnsi="Courier"/>
        </w:rPr>
        <w:t>0.000000  3.032888</w:t>
      </w:r>
      <w:proofErr w:type="gramEnd"/>
    </w:p>
    <w:p w14:paraId="75D41AAA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 xml:space="preserve">7   3 3.7873589       1 </w:t>
      </w:r>
      <w:proofErr w:type="spellStart"/>
      <w:r w:rsidRPr="009A66BD">
        <w:rPr>
          <w:rFonts w:ascii="Courier" w:hAnsi="Courier"/>
        </w:rPr>
        <w:t>1</w:t>
      </w:r>
      <w:proofErr w:type="spellEnd"/>
      <w:r w:rsidRPr="009A66BD">
        <w:rPr>
          <w:rFonts w:ascii="Courier" w:hAnsi="Courier"/>
        </w:rPr>
        <w:t xml:space="preserve"> </w:t>
      </w:r>
      <w:proofErr w:type="gramStart"/>
      <w:r w:rsidRPr="009A66BD">
        <w:rPr>
          <w:rFonts w:ascii="Courier" w:hAnsi="Courier"/>
        </w:rPr>
        <w:t>1.107997  5.680072</w:t>
      </w:r>
      <w:proofErr w:type="gramEnd"/>
    </w:p>
    <w:p w14:paraId="650FD0C2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 xml:space="preserve">8   3 3.7873589       1 </w:t>
      </w:r>
      <w:proofErr w:type="spellStart"/>
      <w:r w:rsidRPr="009A66BD">
        <w:rPr>
          <w:rFonts w:ascii="Courier" w:hAnsi="Courier"/>
        </w:rPr>
        <w:t>1</w:t>
      </w:r>
      <w:proofErr w:type="spellEnd"/>
      <w:r w:rsidRPr="009A66BD">
        <w:rPr>
          <w:rFonts w:ascii="Courier" w:hAnsi="Courier"/>
        </w:rPr>
        <w:t xml:space="preserve"> </w:t>
      </w:r>
      <w:proofErr w:type="gramStart"/>
      <w:r w:rsidRPr="009A66BD">
        <w:rPr>
          <w:rFonts w:ascii="Courier" w:hAnsi="Courier"/>
        </w:rPr>
        <w:t>2.824324  9.780653</w:t>
      </w:r>
      <w:proofErr w:type="gramEnd"/>
    </w:p>
    <w:p w14:paraId="2AC89CFC" w14:textId="77777777" w:rsidR="009A66BD" w:rsidRPr="009A66BD" w:rsidRDefault="009A66BD" w:rsidP="00560A24">
      <w:pPr>
        <w:ind w:left="720"/>
        <w:rPr>
          <w:rFonts w:ascii="Courier" w:hAnsi="Courier"/>
        </w:rPr>
      </w:pPr>
      <w:r w:rsidRPr="009A66BD">
        <w:rPr>
          <w:rFonts w:ascii="Courier" w:hAnsi="Courier"/>
        </w:rPr>
        <w:t xml:space="preserve">9   4 4.2372892       1 0 </w:t>
      </w:r>
      <w:proofErr w:type="gramStart"/>
      <w:r w:rsidRPr="009A66BD">
        <w:rPr>
          <w:rFonts w:ascii="Courier" w:hAnsi="Courier"/>
        </w:rPr>
        <w:t>0.000000  3.620500</w:t>
      </w:r>
      <w:proofErr w:type="gramEnd"/>
    </w:p>
    <w:p w14:paraId="6D3B48B6" w14:textId="77777777" w:rsidR="009A66BD" w:rsidRPr="009A66BD" w:rsidRDefault="009A66BD" w:rsidP="00560A24">
      <w:pPr>
        <w:ind w:left="720"/>
        <w:rPr>
          <w:rFonts w:ascii="Courier" w:hAnsi="Courier"/>
        </w:rPr>
      </w:pPr>
      <w:proofErr w:type="gramStart"/>
      <w:r w:rsidRPr="009A66BD">
        <w:rPr>
          <w:rFonts w:ascii="Courier" w:hAnsi="Courier"/>
        </w:rPr>
        <w:t>10  4</w:t>
      </w:r>
      <w:proofErr w:type="gramEnd"/>
      <w:r w:rsidRPr="009A66BD">
        <w:rPr>
          <w:rFonts w:ascii="Courier" w:hAnsi="Courier"/>
        </w:rPr>
        <w:t xml:space="preserve"> 4.2372892       1 0 1.130476  5.908978</w:t>
      </w:r>
    </w:p>
    <w:p w14:paraId="16614DCE" w14:textId="77777777" w:rsidR="009A66BD" w:rsidRPr="009A66BD" w:rsidRDefault="009A66BD" w:rsidP="00560A24">
      <w:pPr>
        <w:ind w:left="720"/>
        <w:rPr>
          <w:rFonts w:ascii="Courier" w:hAnsi="Courier"/>
        </w:rPr>
      </w:pPr>
      <w:proofErr w:type="gramStart"/>
      <w:r w:rsidRPr="009A66BD">
        <w:rPr>
          <w:rFonts w:ascii="Courier" w:hAnsi="Courier"/>
        </w:rPr>
        <w:t>11  4</w:t>
      </w:r>
      <w:proofErr w:type="gramEnd"/>
      <w:r w:rsidRPr="009A66BD">
        <w:rPr>
          <w:rFonts w:ascii="Courier" w:hAnsi="Courier"/>
        </w:rPr>
        <w:t xml:space="preserve"> 4.2372892       1 0 2.723349  9.133512</w:t>
      </w:r>
    </w:p>
    <w:p w14:paraId="2DF289AA" w14:textId="77777777" w:rsidR="009A66BD" w:rsidRPr="009A66BD" w:rsidRDefault="009A66BD" w:rsidP="00560A24">
      <w:pPr>
        <w:ind w:left="720"/>
        <w:rPr>
          <w:rFonts w:ascii="Courier" w:hAnsi="Courier"/>
        </w:rPr>
      </w:pPr>
      <w:proofErr w:type="gramStart"/>
      <w:r w:rsidRPr="009A66BD">
        <w:rPr>
          <w:rFonts w:ascii="Courier" w:hAnsi="Courier"/>
        </w:rPr>
        <w:t>12  4</w:t>
      </w:r>
      <w:proofErr w:type="gramEnd"/>
      <w:r w:rsidRPr="009A66BD">
        <w:rPr>
          <w:rFonts w:ascii="Courier" w:hAnsi="Courier"/>
        </w:rPr>
        <w:t xml:space="preserve"> 4.2372892       1 0 3.311103 10.323330</w:t>
      </w:r>
    </w:p>
    <w:p w14:paraId="4C981094" w14:textId="77777777" w:rsidR="009A66BD" w:rsidRPr="009A66BD" w:rsidRDefault="009A66BD" w:rsidP="00560A24">
      <w:pPr>
        <w:ind w:left="720"/>
        <w:rPr>
          <w:rFonts w:ascii="Courier" w:hAnsi="Courier"/>
        </w:rPr>
      </w:pPr>
      <w:proofErr w:type="gramStart"/>
      <w:r w:rsidRPr="009A66BD">
        <w:rPr>
          <w:rFonts w:ascii="Courier" w:hAnsi="Courier"/>
        </w:rPr>
        <w:t>13  5</w:t>
      </w:r>
      <w:proofErr w:type="gramEnd"/>
      <w:r w:rsidRPr="009A66BD">
        <w:rPr>
          <w:rFonts w:ascii="Courier" w:hAnsi="Courier"/>
        </w:rPr>
        <w:t xml:space="preserve"> 1.7472433       2 0 0.000000  2.837365</w:t>
      </w:r>
    </w:p>
    <w:p w14:paraId="00C0E519" w14:textId="77777777" w:rsidR="009A66BD" w:rsidRPr="009A66BD" w:rsidRDefault="009A66BD" w:rsidP="00560A24">
      <w:pPr>
        <w:ind w:left="720"/>
        <w:rPr>
          <w:rFonts w:ascii="Courier" w:hAnsi="Courier"/>
        </w:rPr>
      </w:pPr>
      <w:proofErr w:type="gramStart"/>
      <w:r w:rsidRPr="009A66BD">
        <w:rPr>
          <w:rFonts w:ascii="Courier" w:hAnsi="Courier"/>
        </w:rPr>
        <w:t>14  5</w:t>
      </w:r>
      <w:proofErr w:type="gramEnd"/>
      <w:r w:rsidRPr="009A66BD">
        <w:rPr>
          <w:rFonts w:ascii="Courier" w:hAnsi="Courier"/>
        </w:rPr>
        <w:t xml:space="preserve"> 1.7472433       2 0 1.457901  5.347951</w:t>
      </w:r>
    </w:p>
    <w:p w14:paraId="03218FB5" w14:textId="77777777" w:rsidR="009A66BD" w:rsidRPr="009A66BD" w:rsidRDefault="009A66BD" w:rsidP="00560A24">
      <w:pPr>
        <w:ind w:left="720"/>
        <w:rPr>
          <w:rFonts w:ascii="Courier" w:hAnsi="Courier"/>
        </w:rPr>
      </w:pPr>
      <w:proofErr w:type="gramStart"/>
      <w:r w:rsidRPr="009A66BD">
        <w:rPr>
          <w:rFonts w:ascii="Courier" w:hAnsi="Courier"/>
        </w:rPr>
        <w:t>15  6</w:t>
      </w:r>
      <w:proofErr w:type="gramEnd"/>
      <w:r w:rsidRPr="009A66BD">
        <w:rPr>
          <w:rFonts w:ascii="Courier" w:hAnsi="Courier"/>
        </w:rPr>
        <w:t xml:space="preserve"> 4.7201490       1 0 0.000000  2.702835</w:t>
      </w:r>
    </w:p>
    <w:p w14:paraId="3992B8E5" w14:textId="77777777" w:rsidR="009A66BD" w:rsidRPr="009A66BD" w:rsidRDefault="009A66BD" w:rsidP="00560A24">
      <w:pPr>
        <w:ind w:left="720"/>
        <w:rPr>
          <w:rFonts w:ascii="Courier" w:hAnsi="Courier"/>
        </w:rPr>
      </w:pPr>
      <w:proofErr w:type="gramStart"/>
      <w:r w:rsidRPr="009A66BD">
        <w:rPr>
          <w:rFonts w:ascii="Courier" w:hAnsi="Courier"/>
        </w:rPr>
        <w:t>16  6</w:t>
      </w:r>
      <w:proofErr w:type="gramEnd"/>
      <w:r w:rsidRPr="009A66BD">
        <w:rPr>
          <w:rFonts w:ascii="Courier" w:hAnsi="Courier"/>
        </w:rPr>
        <w:t xml:space="preserve"> 4.7201490       1 0 1.579315  5.612483</w:t>
      </w:r>
    </w:p>
    <w:p w14:paraId="4CCBF9A0" w14:textId="77777777" w:rsidR="009A66BD" w:rsidRPr="009A66BD" w:rsidRDefault="009A66BD" w:rsidP="00560A24">
      <w:pPr>
        <w:ind w:left="720"/>
        <w:rPr>
          <w:rFonts w:ascii="Courier" w:hAnsi="Courier"/>
        </w:rPr>
      </w:pPr>
      <w:proofErr w:type="gramStart"/>
      <w:r w:rsidRPr="009A66BD">
        <w:rPr>
          <w:rFonts w:ascii="Courier" w:hAnsi="Courier"/>
        </w:rPr>
        <w:t>17  6</w:t>
      </w:r>
      <w:proofErr w:type="gramEnd"/>
      <w:r w:rsidRPr="009A66BD">
        <w:rPr>
          <w:rFonts w:ascii="Courier" w:hAnsi="Courier"/>
        </w:rPr>
        <w:t xml:space="preserve"> 4.7201490       1 0 2.090319  6.553930</w:t>
      </w:r>
    </w:p>
    <w:p w14:paraId="483444D8" w14:textId="77777777" w:rsidR="009A66BD" w:rsidRPr="009A66BD" w:rsidRDefault="009A66BD" w:rsidP="00560A24">
      <w:pPr>
        <w:ind w:left="720"/>
        <w:rPr>
          <w:rFonts w:ascii="Courier" w:hAnsi="Courier"/>
        </w:rPr>
      </w:pPr>
      <w:proofErr w:type="gramStart"/>
      <w:r w:rsidRPr="009A66BD">
        <w:rPr>
          <w:rFonts w:ascii="Courier" w:hAnsi="Courier"/>
        </w:rPr>
        <w:t>18  6</w:t>
      </w:r>
      <w:proofErr w:type="gramEnd"/>
      <w:r w:rsidRPr="009A66BD">
        <w:rPr>
          <w:rFonts w:ascii="Courier" w:hAnsi="Courier"/>
        </w:rPr>
        <w:t xml:space="preserve"> 4.7201490       1 0 3.559243  9.260197</w:t>
      </w:r>
    </w:p>
    <w:p w14:paraId="0BD0587D" w14:textId="1841E485" w:rsidR="00E121AA" w:rsidRPr="009A66BD" w:rsidRDefault="009A66BD" w:rsidP="00560A24">
      <w:pPr>
        <w:ind w:left="720"/>
        <w:rPr>
          <w:rFonts w:ascii="Courier" w:hAnsi="Courier"/>
        </w:rPr>
      </w:pPr>
      <w:proofErr w:type="gramStart"/>
      <w:r w:rsidRPr="009A66BD">
        <w:rPr>
          <w:rFonts w:ascii="Courier" w:hAnsi="Courier"/>
        </w:rPr>
        <w:t>19  6</w:t>
      </w:r>
      <w:proofErr w:type="gramEnd"/>
      <w:r w:rsidRPr="009A66BD">
        <w:rPr>
          <w:rFonts w:ascii="Courier" w:hAnsi="Courier"/>
        </w:rPr>
        <w:t xml:space="preserve"> 4.7201490       1 0 4.041027 10.147810</w:t>
      </w:r>
    </w:p>
    <w:p w14:paraId="52DF7D97" w14:textId="77777777" w:rsidR="00E121AA" w:rsidRDefault="00E121AA" w:rsidP="00571BDA">
      <w:pPr>
        <w:spacing w:after="120"/>
      </w:pPr>
    </w:p>
    <w:p w14:paraId="15CF681A" w14:textId="7A0CAF6B" w:rsidR="002215BB" w:rsidRPr="0056195B" w:rsidRDefault="00E85971" w:rsidP="001506F0">
      <w:pPr>
        <w:pStyle w:val="ListParagraph"/>
        <w:numPr>
          <w:ilvl w:val="0"/>
          <w:numId w:val="2"/>
        </w:numPr>
        <w:spacing w:after="120"/>
        <w:contextualSpacing w:val="0"/>
        <w:rPr>
          <w:b/>
        </w:rPr>
      </w:pPr>
      <w:r w:rsidRPr="0056195B">
        <w:rPr>
          <w:b/>
        </w:rPr>
        <w:lastRenderedPageBreak/>
        <w:t>Instructions</w:t>
      </w:r>
      <w:r w:rsidR="00E70364" w:rsidRPr="0056195B">
        <w:rPr>
          <w:b/>
        </w:rPr>
        <w:t xml:space="preserve"> of </w:t>
      </w:r>
      <w:r w:rsidR="00100816" w:rsidRPr="0056195B">
        <w:rPr>
          <w:b/>
        </w:rPr>
        <w:t>implementing</w:t>
      </w:r>
      <w:r w:rsidR="00FB6D72" w:rsidRPr="0056195B">
        <w:rPr>
          <w:b/>
        </w:rPr>
        <w:t xml:space="preserve"> the</w:t>
      </w:r>
      <w:r w:rsidR="00E70364" w:rsidRPr="0056195B">
        <w:rPr>
          <w:b/>
        </w:rPr>
        <w:t xml:space="preserve"> landmark PSH </w:t>
      </w:r>
      <w:r w:rsidR="00506929" w:rsidRPr="0056195B">
        <w:rPr>
          <w:b/>
        </w:rPr>
        <w:t>supermodel</w:t>
      </w:r>
    </w:p>
    <w:p w14:paraId="791D3AF3" w14:textId="4D7C0BDA" w:rsidR="0006574A" w:rsidRPr="008D6C55" w:rsidRDefault="0006574A" w:rsidP="004E4701">
      <w:pPr>
        <w:pStyle w:val="NormalWeb"/>
        <w:spacing w:after="120" w:afterAutospacing="0"/>
        <w:rPr>
          <w:rFonts w:asciiTheme="minorHAnsi" w:hAnsiTheme="minorHAnsi" w:cstheme="minorBidi"/>
          <w:sz w:val="24"/>
          <w:szCs w:val="24"/>
        </w:rPr>
      </w:pPr>
      <w:r w:rsidRPr="0006574A">
        <w:rPr>
          <w:rFonts w:asciiTheme="minorHAnsi" w:hAnsiTheme="minorHAnsi" w:cstheme="minorBidi"/>
          <w:sz w:val="24"/>
          <w:szCs w:val="24"/>
        </w:rPr>
        <w:t xml:space="preserve">The sample code </w:t>
      </w:r>
      <w:r w:rsidR="00805806">
        <w:rPr>
          <w:rFonts w:asciiTheme="minorHAnsi" w:hAnsiTheme="minorHAnsi" w:cstheme="minorBidi"/>
          <w:sz w:val="24"/>
          <w:szCs w:val="24"/>
        </w:rPr>
        <w:t xml:space="preserve">in </w:t>
      </w:r>
      <w:r w:rsidR="00805806" w:rsidRPr="00805806">
        <w:rPr>
          <w:rFonts w:asciiTheme="minorHAnsi" w:hAnsiTheme="minorHAnsi" w:cstheme="minorBidi"/>
          <w:sz w:val="24"/>
          <w:szCs w:val="24"/>
        </w:rPr>
        <w:t>“</w:t>
      </w:r>
      <w:r w:rsidR="00805806" w:rsidRPr="00805806">
        <w:rPr>
          <w:rFonts w:asciiTheme="minorHAnsi" w:hAnsiTheme="minorHAnsi" w:cstheme="minorBidi"/>
          <w:i/>
          <w:sz w:val="24"/>
          <w:szCs w:val="24"/>
        </w:rPr>
        <w:t xml:space="preserve">Landmark PSH supermodel sample </w:t>
      </w:r>
      <w:proofErr w:type="spellStart"/>
      <w:proofErr w:type="gramStart"/>
      <w:r w:rsidR="00805806" w:rsidRPr="00805806">
        <w:rPr>
          <w:rFonts w:asciiTheme="minorHAnsi" w:hAnsiTheme="minorHAnsi" w:cstheme="minorBidi"/>
          <w:i/>
          <w:sz w:val="24"/>
          <w:szCs w:val="24"/>
        </w:rPr>
        <w:t>code.R</w:t>
      </w:r>
      <w:proofErr w:type="spellEnd"/>
      <w:proofErr w:type="gramEnd"/>
      <w:r w:rsidR="00805806" w:rsidRPr="00805806">
        <w:rPr>
          <w:rFonts w:asciiTheme="minorHAnsi" w:hAnsiTheme="minorHAnsi" w:cstheme="minorBidi"/>
          <w:sz w:val="24"/>
          <w:szCs w:val="24"/>
        </w:rPr>
        <w:t xml:space="preserve">” file </w:t>
      </w:r>
      <w:r w:rsidRPr="0006574A">
        <w:rPr>
          <w:rFonts w:asciiTheme="minorHAnsi" w:hAnsiTheme="minorHAnsi" w:cstheme="minorBidi"/>
          <w:sz w:val="24"/>
          <w:szCs w:val="24"/>
        </w:rPr>
        <w:t xml:space="preserve">is a template for implementing our method </w:t>
      </w:r>
      <w:r w:rsidR="001F0B3F">
        <w:rPr>
          <w:rFonts w:asciiTheme="minorHAnsi" w:hAnsiTheme="minorHAnsi" w:cstheme="minorBidi"/>
          <w:sz w:val="24"/>
          <w:szCs w:val="24"/>
        </w:rPr>
        <w:t>by using the si</w:t>
      </w:r>
      <w:r w:rsidR="00F653FF">
        <w:rPr>
          <w:rFonts w:asciiTheme="minorHAnsi" w:hAnsiTheme="minorHAnsi" w:cstheme="minorBidi"/>
          <w:sz w:val="24"/>
          <w:szCs w:val="24"/>
        </w:rPr>
        <w:t>mulated data as an example. It includes the following steps:</w:t>
      </w:r>
    </w:p>
    <w:p w14:paraId="473F573D" w14:textId="3F1EA8B6" w:rsidR="00F82443" w:rsidRDefault="002E43D2" w:rsidP="004E4701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Specify the prediction window </w:t>
      </w:r>
      <w:r w:rsidRPr="002E43D2">
        <w:rPr>
          <w:rFonts w:ascii="Courier" w:hAnsi="Courier"/>
        </w:rPr>
        <w:t>w</w:t>
      </w:r>
      <w:r>
        <w:t xml:space="preserve"> and a set of fine grid landmark time </w:t>
      </w:r>
      <w:proofErr w:type="gramStart"/>
      <w:r>
        <w:t>points</w:t>
      </w:r>
      <w:proofErr w:type="gramEnd"/>
      <w:r>
        <w:t xml:space="preserve"> </w:t>
      </w:r>
      <w:r w:rsidRPr="002E43D2">
        <w:rPr>
          <w:rFonts w:ascii="Courier" w:hAnsi="Courier"/>
        </w:rPr>
        <w:t>s0</w:t>
      </w:r>
      <w:r>
        <w:t xml:space="preserve"> </w:t>
      </w:r>
      <w:r w:rsidR="002171CE">
        <w:t xml:space="preserve">which are </w:t>
      </w:r>
      <w:r>
        <w:t>used to fit the landmark PSH supermodel</w:t>
      </w:r>
      <w:r w:rsidR="0031797F">
        <w:t>.</w:t>
      </w:r>
    </w:p>
    <w:p w14:paraId="7F10AFE1" w14:textId="163B34D9" w:rsidR="00F4274D" w:rsidRDefault="00F51D3E" w:rsidP="004E4701">
      <w:pPr>
        <w:pStyle w:val="ListParagraph"/>
        <w:numPr>
          <w:ilvl w:val="1"/>
          <w:numId w:val="2"/>
        </w:numPr>
        <w:spacing w:after="120"/>
        <w:contextualSpacing w:val="0"/>
      </w:pPr>
      <w:r>
        <w:t>Build the stacked landmark super datasets, transform to counting process format, and add IPCW weights for competing events</w:t>
      </w:r>
      <w:r w:rsidR="0031797F">
        <w:t>.</w:t>
      </w:r>
    </w:p>
    <w:p w14:paraId="5CB7629E" w14:textId="6856C302" w:rsidR="00704D44" w:rsidRDefault="00125F51" w:rsidP="004E4701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Construct parametric functions for landmark effects, and use Wald test </w:t>
      </w:r>
      <w:r w:rsidR="00482AF6">
        <w:t xml:space="preserve">with robust covariance matrix </w:t>
      </w:r>
      <w:r>
        <w:t xml:space="preserve">to test the landmark-covariate interactions to select the covariates of which the effects are dependent on the landmark points. </w:t>
      </w:r>
    </w:p>
    <w:p w14:paraId="0915D9F4" w14:textId="560A3A51" w:rsidR="00F51D3E" w:rsidRDefault="0031797F" w:rsidP="00704D44">
      <w:pPr>
        <w:pStyle w:val="ListParagraph"/>
        <w:spacing w:after="120"/>
        <w:contextualSpacing w:val="0"/>
      </w:pPr>
      <w:r>
        <w:t>As the example showed,</w:t>
      </w:r>
      <w:r w:rsidR="006F3767">
        <w:t xml:space="preserve"> </w:t>
      </w:r>
      <w:r>
        <w:t xml:space="preserve">the </w:t>
      </w:r>
      <w:r w:rsidR="00125F51">
        <w:t>Wald test for time-fixed c</w:t>
      </w:r>
      <w:r w:rsidR="001603EE">
        <w:t>ovariate z was not significant (p-value=0.076), but significant for the time-depende</w:t>
      </w:r>
      <w:r w:rsidR="007A5493">
        <w:t xml:space="preserve">nt covariate </w:t>
      </w:r>
      <w:proofErr w:type="spellStart"/>
      <w:r w:rsidR="007A5493">
        <w:t>zt</w:t>
      </w:r>
      <w:proofErr w:type="spellEnd"/>
      <w:r w:rsidR="007A5493">
        <w:t xml:space="preserve"> (p-value=0.011</w:t>
      </w:r>
      <w:r w:rsidR="007E3E5C">
        <w:t>.</w:t>
      </w:r>
      <w:r w:rsidR="007A5493">
        <w:t>)</w:t>
      </w:r>
      <w:r w:rsidR="007E3E5C">
        <w:t xml:space="preserve"> This example focused on </w:t>
      </w:r>
      <w:r w:rsidR="00CA7492">
        <w:t xml:space="preserve">the </w:t>
      </w:r>
      <w:r w:rsidR="007E3E5C">
        <w:t>main event.</w:t>
      </w:r>
      <w:r w:rsidR="007A5493">
        <w:t xml:space="preserve"> </w:t>
      </w:r>
    </w:p>
    <w:p w14:paraId="406A3665" w14:textId="77777777" w:rsidR="003043D7" w:rsidRDefault="001603EE" w:rsidP="004E4701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Fit the final landmark PSH supermodel. </w:t>
      </w:r>
    </w:p>
    <w:p w14:paraId="3FAF4AF8" w14:textId="0F477B4A" w:rsidR="001603EE" w:rsidRDefault="001603EE" w:rsidP="003043D7">
      <w:pPr>
        <w:pStyle w:val="ListParagraph"/>
        <w:spacing w:after="120"/>
        <w:contextualSpacing w:val="0"/>
      </w:pPr>
      <w:r>
        <w:t xml:space="preserve">In the example, the final model included z, </w:t>
      </w:r>
      <w:proofErr w:type="spellStart"/>
      <w:r>
        <w:t>zt</w:t>
      </w:r>
      <w:proofErr w:type="spellEnd"/>
      <w:r>
        <w:t xml:space="preserve">, </w:t>
      </w:r>
      <w:proofErr w:type="spellStart"/>
      <w:r>
        <w:t>zt</w:t>
      </w:r>
      <w:proofErr w:type="spellEnd"/>
      <w:r>
        <w:t xml:space="preserve">*s, </w:t>
      </w:r>
      <w:proofErr w:type="spellStart"/>
      <w:r>
        <w:t>zt</w:t>
      </w:r>
      <w:proofErr w:type="spellEnd"/>
      <w:r>
        <w:t>*s</w:t>
      </w:r>
      <w:r w:rsidRPr="001603EE">
        <w:rPr>
          <w:vertAlign w:val="superscript"/>
        </w:rPr>
        <w:t>2</w:t>
      </w:r>
      <w:r>
        <w:t xml:space="preserve">, </w:t>
      </w:r>
      <w:r w:rsidR="008740DE">
        <w:t>and baseline parameters</w:t>
      </w:r>
      <w:r w:rsidR="00F54AD3">
        <w:t xml:space="preserve"> with the estimated regression parameters showed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8"/>
        <w:gridCol w:w="1350"/>
        <w:gridCol w:w="1800"/>
        <w:gridCol w:w="2538"/>
      </w:tblGrid>
      <w:tr w:rsidR="003A09AE" w14:paraId="498CD9FF" w14:textId="77777777" w:rsidTr="00116E0F">
        <w:tc>
          <w:tcPr>
            <w:tcW w:w="2448" w:type="dxa"/>
          </w:tcPr>
          <w:p w14:paraId="49FDA8DA" w14:textId="2D8DB405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r>
              <w:t>Covariate</w:t>
            </w:r>
          </w:p>
        </w:tc>
        <w:tc>
          <w:tcPr>
            <w:tcW w:w="1350" w:type="dxa"/>
          </w:tcPr>
          <w:p w14:paraId="23438EE9" w14:textId="77777777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1800" w:type="dxa"/>
          </w:tcPr>
          <w:p w14:paraId="71CE40B5" w14:textId="70069BE5" w:rsidR="003A09AE" w:rsidRDefault="00BF1F66" w:rsidP="003043D7">
            <w:pPr>
              <w:pStyle w:val="ListParagraph"/>
              <w:spacing w:after="120"/>
              <w:ind w:left="0"/>
              <w:contextualSpacing w:val="0"/>
            </w:pPr>
            <w:r>
              <w:t>C</w:t>
            </w:r>
            <w:r w:rsidR="00115896">
              <w:t>oef</w:t>
            </w:r>
            <w:r w:rsidR="007832DA">
              <w:t>f</w:t>
            </w:r>
            <w:r>
              <w:t>icients</w:t>
            </w:r>
          </w:p>
        </w:tc>
        <w:tc>
          <w:tcPr>
            <w:tcW w:w="2538" w:type="dxa"/>
          </w:tcPr>
          <w:p w14:paraId="10954536" w14:textId="13F140DF" w:rsidR="003A09AE" w:rsidRDefault="003C6191" w:rsidP="00BF1F66">
            <w:pPr>
              <w:pStyle w:val="ListParagraph"/>
              <w:spacing w:after="120"/>
              <w:ind w:left="0"/>
              <w:contextualSpacing w:val="0"/>
            </w:pPr>
            <w:r>
              <w:t xml:space="preserve">Robust se of </w:t>
            </w:r>
            <w:proofErr w:type="spellStart"/>
            <w:r>
              <w:t>coef</w:t>
            </w:r>
            <w:proofErr w:type="spellEnd"/>
            <w:r w:rsidR="00116E0F">
              <w:t>.</w:t>
            </w:r>
          </w:p>
        </w:tc>
      </w:tr>
      <w:tr w:rsidR="003A09AE" w14:paraId="2B8605EB" w14:textId="77777777" w:rsidTr="00116E0F">
        <w:tc>
          <w:tcPr>
            <w:tcW w:w="2448" w:type="dxa"/>
          </w:tcPr>
          <w:p w14:paraId="3B93DA03" w14:textId="4E789B24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proofErr w:type="gramStart"/>
            <w:r>
              <w:t>z</w:t>
            </w:r>
            <w:proofErr w:type="gramEnd"/>
          </w:p>
        </w:tc>
        <w:tc>
          <w:tcPr>
            <w:tcW w:w="1350" w:type="dxa"/>
          </w:tcPr>
          <w:p w14:paraId="321F7EC8" w14:textId="378667E1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proofErr w:type="gramStart"/>
            <w:r>
              <w:t>constant</w:t>
            </w:r>
            <w:proofErr w:type="gramEnd"/>
          </w:p>
        </w:tc>
        <w:tc>
          <w:tcPr>
            <w:tcW w:w="1800" w:type="dxa"/>
          </w:tcPr>
          <w:p w14:paraId="7D4F8263" w14:textId="6A2E0F40" w:rsidR="003A09AE" w:rsidRDefault="00AF7E02" w:rsidP="003043D7">
            <w:pPr>
              <w:pStyle w:val="ListParagraph"/>
              <w:spacing w:after="120"/>
              <w:ind w:left="0"/>
              <w:contextualSpacing w:val="0"/>
            </w:pPr>
            <w:r>
              <w:t xml:space="preserve"> </w:t>
            </w:r>
            <w:r w:rsidR="000D583F">
              <w:t>0.410</w:t>
            </w:r>
          </w:p>
        </w:tc>
        <w:tc>
          <w:tcPr>
            <w:tcW w:w="2538" w:type="dxa"/>
          </w:tcPr>
          <w:p w14:paraId="6E4A17F5" w14:textId="052C1AEA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0.051</w:t>
            </w:r>
          </w:p>
        </w:tc>
      </w:tr>
      <w:tr w:rsidR="003A09AE" w14:paraId="180096A8" w14:textId="77777777" w:rsidTr="00116E0F">
        <w:tc>
          <w:tcPr>
            <w:tcW w:w="2448" w:type="dxa"/>
          </w:tcPr>
          <w:p w14:paraId="4F9DE236" w14:textId="03E49E08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proofErr w:type="spellStart"/>
            <w:proofErr w:type="gramStart"/>
            <w:r>
              <w:t>zt</w:t>
            </w:r>
            <w:proofErr w:type="spellEnd"/>
            <w:proofErr w:type="gramEnd"/>
          </w:p>
        </w:tc>
        <w:tc>
          <w:tcPr>
            <w:tcW w:w="1350" w:type="dxa"/>
          </w:tcPr>
          <w:p w14:paraId="76FC0349" w14:textId="748F463C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proofErr w:type="gramStart"/>
            <w:r>
              <w:t>constant</w:t>
            </w:r>
            <w:proofErr w:type="gramEnd"/>
          </w:p>
        </w:tc>
        <w:tc>
          <w:tcPr>
            <w:tcW w:w="1800" w:type="dxa"/>
          </w:tcPr>
          <w:p w14:paraId="3D170746" w14:textId="41CE0B2A" w:rsidR="003A09AE" w:rsidRDefault="000D583F" w:rsidP="003043D7">
            <w:pPr>
              <w:pStyle w:val="ListParagraph"/>
              <w:spacing w:after="120"/>
              <w:ind w:left="0"/>
              <w:contextualSpacing w:val="0"/>
            </w:pPr>
            <w:r>
              <w:t>-0.848</w:t>
            </w:r>
          </w:p>
        </w:tc>
        <w:tc>
          <w:tcPr>
            <w:tcW w:w="2538" w:type="dxa"/>
          </w:tcPr>
          <w:p w14:paraId="377ED6BB" w14:textId="08114626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0.520</w:t>
            </w:r>
          </w:p>
        </w:tc>
      </w:tr>
      <w:tr w:rsidR="003A09AE" w14:paraId="2E6C9933" w14:textId="77777777" w:rsidTr="00116E0F">
        <w:tc>
          <w:tcPr>
            <w:tcW w:w="2448" w:type="dxa"/>
          </w:tcPr>
          <w:p w14:paraId="69A072E3" w14:textId="77777777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1350" w:type="dxa"/>
          </w:tcPr>
          <w:p w14:paraId="4B644FB9" w14:textId="3A4BF4C9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proofErr w:type="gramStart"/>
            <w:r>
              <w:t>s</w:t>
            </w:r>
            <w:proofErr w:type="gramEnd"/>
          </w:p>
        </w:tc>
        <w:tc>
          <w:tcPr>
            <w:tcW w:w="1800" w:type="dxa"/>
          </w:tcPr>
          <w:p w14:paraId="62533D34" w14:textId="040BF1E1" w:rsidR="003A09AE" w:rsidRDefault="00AF7E02" w:rsidP="003043D7">
            <w:pPr>
              <w:pStyle w:val="ListParagraph"/>
              <w:spacing w:after="120"/>
              <w:ind w:left="0"/>
              <w:contextualSpacing w:val="0"/>
            </w:pPr>
            <w:r>
              <w:t xml:space="preserve"> </w:t>
            </w:r>
            <w:r w:rsidR="000D583F">
              <w:t>0.962</w:t>
            </w:r>
          </w:p>
        </w:tc>
        <w:tc>
          <w:tcPr>
            <w:tcW w:w="2538" w:type="dxa"/>
          </w:tcPr>
          <w:p w14:paraId="2E5FDB4B" w14:textId="19BCC9B1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0.321</w:t>
            </w:r>
          </w:p>
        </w:tc>
      </w:tr>
      <w:tr w:rsidR="003A09AE" w14:paraId="7628EB76" w14:textId="77777777" w:rsidTr="00116E0F">
        <w:tc>
          <w:tcPr>
            <w:tcW w:w="2448" w:type="dxa"/>
          </w:tcPr>
          <w:p w14:paraId="173E01E9" w14:textId="77777777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1350" w:type="dxa"/>
          </w:tcPr>
          <w:p w14:paraId="40DC0CF4" w14:textId="1DF83568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proofErr w:type="gramStart"/>
            <w:r>
              <w:t>s</w:t>
            </w:r>
            <w:r w:rsidRPr="001603EE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00" w:type="dxa"/>
          </w:tcPr>
          <w:p w14:paraId="54E9C727" w14:textId="46E71F10" w:rsidR="003A09AE" w:rsidRDefault="000D583F" w:rsidP="003043D7">
            <w:pPr>
              <w:pStyle w:val="ListParagraph"/>
              <w:spacing w:after="120"/>
              <w:ind w:left="0"/>
              <w:contextualSpacing w:val="0"/>
            </w:pPr>
            <w:r>
              <w:t>-0.148</w:t>
            </w:r>
          </w:p>
        </w:tc>
        <w:tc>
          <w:tcPr>
            <w:tcW w:w="2538" w:type="dxa"/>
          </w:tcPr>
          <w:p w14:paraId="278A0D31" w14:textId="486ACD3A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0.</w:t>
            </w:r>
            <w:r w:rsidR="00C37AFA">
              <w:t>0</w:t>
            </w:r>
            <w:r>
              <w:t>50</w:t>
            </w:r>
          </w:p>
        </w:tc>
      </w:tr>
      <w:tr w:rsidR="003A09AE" w14:paraId="0CB6CF03" w14:textId="77777777" w:rsidTr="00116E0F">
        <w:tc>
          <w:tcPr>
            <w:tcW w:w="2448" w:type="dxa"/>
          </w:tcPr>
          <w:p w14:paraId="1ADE05D4" w14:textId="1F43A430" w:rsidR="003A09AE" w:rsidRDefault="00672A6C" w:rsidP="003043D7">
            <w:pPr>
              <w:pStyle w:val="ListParagraph"/>
              <w:spacing w:after="120"/>
              <w:ind w:left="0"/>
              <w:contextualSpacing w:val="0"/>
            </w:pPr>
            <w:r>
              <w:t>Baseline parameters</w:t>
            </w:r>
          </w:p>
        </w:tc>
        <w:tc>
          <w:tcPr>
            <w:tcW w:w="1350" w:type="dxa"/>
          </w:tcPr>
          <w:p w14:paraId="52926883" w14:textId="7A3E4BBF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proofErr w:type="gramStart"/>
            <w:r>
              <w:t>s</w:t>
            </w:r>
            <w:proofErr w:type="gramEnd"/>
          </w:p>
        </w:tc>
        <w:tc>
          <w:tcPr>
            <w:tcW w:w="1800" w:type="dxa"/>
          </w:tcPr>
          <w:p w14:paraId="55C042E7" w14:textId="2B9F8CB2" w:rsidR="003A09AE" w:rsidRDefault="000D583F" w:rsidP="003043D7">
            <w:pPr>
              <w:pStyle w:val="ListParagraph"/>
              <w:spacing w:after="120"/>
              <w:ind w:left="0"/>
              <w:contextualSpacing w:val="0"/>
            </w:pPr>
            <w:r>
              <w:t>-8.817</w:t>
            </w:r>
          </w:p>
        </w:tc>
        <w:tc>
          <w:tcPr>
            <w:tcW w:w="2538" w:type="dxa"/>
          </w:tcPr>
          <w:p w14:paraId="4BD3858A" w14:textId="5A95A666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2.618</w:t>
            </w:r>
          </w:p>
        </w:tc>
      </w:tr>
      <w:tr w:rsidR="003A09AE" w14:paraId="7F16ECF7" w14:textId="77777777" w:rsidTr="00116E0F">
        <w:tc>
          <w:tcPr>
            <w:tcW w:w="2448" w:type="dxa"/>
          </w:tcPr>
          <w:p w14:paraId="5C304B54" w14:textId="77777777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1350" w:type="dxa"/>
          </w:tcPr>
          <w:p w14:paraId="43C6B9EB" w14:textId="42ECE2A3" w:rsidR="003A09AE" w:rsidRDefault="003A09AE" w:rsidP="003043D7">
            <w:pPr>
              <w:pStyle w:val="ListParagraph"/>
              <w:spacing w:after="120"/>
              <w:ind w:left="0"/>
              <w:contextualSpacing w:val="0"/>
            </w:pPr>
            <w:proofErr w:type="gramStart"/>
            <w:r>
              <w:t>s</w:t>
            </w:r>
            <w:r w:rsidRPr="001603EE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800" w:type="dxa"/>
          </w:tcPr>
          <w:p w14:paraId="39D7557F" w14:textId="594B003B" w:rsidR="003A09AE" w:rsidRDefault="00AF7E02" w:rsidP="003043D7">
            <w:pPr>
              <w:pStyle w:val="ListParagraph"/>
              <w:spacing w:after="120"/>
              <w:ind w:left="0"/>
              <w:contextualSpacing w:val="0"/>
            </w:pPr>
            <w:r>
              <w:t xml:space="preserve"> </w:t>
            </w:r>
            <w:r w:rsidR="000D583F">
              <w:t>1.159</w:t>
            </w:r>
          </w:p>
        </w:tc>
        <w:tc>
          <w:tcPr>
            <w:tcW w:w="2538" w:type="dxa"/>
          </w:tcPr>
          <w:p w14:paraId="14F7BCE9" w14:textId="3A1D8221" w:rsidR="003A09AE" w:rsidRDefault="00C94000" w:rsidP="003043D7">
            <w:pPr>
              <w:pStyle w:val="ListParagraph"/>
              <w:spacing w:after="120"/>
              <w:ind w:left="0"/>
              <w:contextualSpacing w:val="0"/>
            </w:pPr>
            <w:r>
              <w:t>0.426</w:t>
            </w:r>
          </w:p>
        </w:tc>
      </w:tr>
    </w:tbl>
    <w:p w14:paraId="76851A9B" w14:textId="77777777" w:rsidR="00F54212" w:rsidRDefault="00F54212" w:rsidP="00B704D1">
      <w:pPr>
        <w:spacing w:after="120"/>
      </w:pPr>
    </w:p>
    <w:p w14:paraId="24290C6B" w14:textId="73AAA5C1" w:rsidR="00BF466A" w:rsidRDefault="004C4ACC" w:rsidP="004E4701">
      <w:pPr>
        <w:pStyle w:val="ListParagraph"/>
        <w:numPr>
          <w:ilvl w:val="1"/>
          <w:numId w:val="2"/>
        </w:numPr>
        <w:spacing w:after="120"/>
        <w:contextualSpacing w:val="0"/>
      </w:pPr>
      <w:r>
        <w:t>Calculate the conditional CIF for each selected landmark time point</w:t>
      </w:r>
      <w:r w:rsidR="00EA3791">
        <w:t xml:space="preserve"> in dynamic prediction.</w:t>
      </w:r>
    </w:p>
    <w:p w14:paraId="616C0908" w14:textId="77777777" w:rsidR="00F82443" w:rsidRDefault="00F82443" w:rsidP="00F82443">
      <w:pPr>
        <w:spacing w:after="120"/>
      </w:pPr>
    </w:p>
    <w:p w14:paraId="08A35D23" w14:textId="77777777" w:rsidR="00F82443" w:rsidRDefault="00F82443" w:rsidP="00F82443">
      <w:pPr>
        <w:spacing w:after="120"/>
      </w:pPr>
    </w:p>
    <w:p w14:paraId="7E38CA66" w14:textId="77777777" w:rsidR="00F82443" w:rsidRDefault="00F82443" w:rsidP="00F82443">
      <w:pPr>
        <w:spacing w:after="120"/>
      </w:pPr>
    </w:p>
    <w:p w14:paraId="63B99E38" w14:textId="00730EEE" w:rsidR="00F82443" w:rsidRDefault="00F82443" w:rsidP="00F82443">
      <w:pPr>
        <w:spacing w:after="120"/>
      </w:pPr>
    </w:p>
    <w:p w14:paraId="62F7AB39" w14:textId="77777777" w:rsidR="00F82443" w:rsidRDefault="00F82443" w:rsidP="00F82443">
      <w:pPr>
        <w:spacing w:after="120"/>
      </w:pPr>
    </w:p>
    <w:sectPr w:rsidR="00F82443" w:rsidSect="00D20F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4F10"/>
    <w:multiLevelType w:val="hybridMultilevel"/>
    <w:tmpl w:val="D834C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4263F9"/>
    <w:multiLevelType w:val="hybridMultilevel"/>
    <w:tmpl w:val="44AE2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388A16">
      <w:start w:val="1"/>
      <w:numFmt w:val="bullet"/>
      <w:lvlText w:val="–"/>
      <w:lvlJc w:val="left"/>
      <w:pPr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5BB"/>
    <w:rsid w:val="00047E69"/>
    <w:rsid w:val="0006574A"/>
    <w:rsid w:val="000D583F"/>
    <w:rsid w:val="000E6BF4"/>
    <w:rsid w:val="00100816"/>
    <w:rsid w:val="00102338"/>
    <w:rsid w:val="00115896"/>
    <w:rsid w:val="00116E0F"/>
    <w:rsid w:val="00125F51"/>
    <w:rsid w:val="00125FED"/>
    <w:rsid w:val="00132078"/>
    <w:rsid w:val="001506F0"/>
    <w:rsid w:val="001603EE"/>
    <w:rsid w:val="00166586"/>
    <w:rsid w:val="001F0603"/>
    <w:rsid w:val="001F0B3F"/>
    <w:rsid w:val="001F5FFD"/>
    <w:rsid w:val="002171CE"/>
    <w:rsid w:val="002215BB"/>
    <w:rsid w:val="00271EAD"/>
    <w:rsid w:val="002C76FB"/>
    <w:rsid w:val="002E43D2"/>
    <w:rsid w:val="003043D7"/>
    <w:rsid w:val="0031797F"/>
    <w:rsid w:val="00325EBC"/>
    <w:rsid w:val="0037546A"/>
    <w:rsid w:val="00377C11"/>
    <w:rsid w:val="0038782A"/>
    <w:rsid w:val="003A09AE"/>
    <w:rsid w:val="003C6191"/>
    <w:rsid w:val="0041666A"/>
    <w:rsid w:val="00462CF1"/>
    <w:rsid w:val="00482AF6"/>
    <w:rsid w:val="00491B6E"/>
    <w:rsid w:val="004C4ACC"/>
    <w:rsid w:val="004D145E"/>
    <w:rsid w:val="004E3D3F"/>
    <w:rsid w:val="004E4701"/>
    <w:rsid w:val="004E590F"/>
    <w:rsid w:val="00506929"/>
    <w:rsid w:val="005230EF"/>
    <w:rsid w:val="00560A24"/>
    <w:rsid w:val="0056195B"/>
    <w:rsid w:val="005660B5"/>
    <w:rsid w:val="00571BDA"/>
    <w:rsid w:val="005A78C0"/>
    <w:rsid w:val="005D2CBB"/>
    <w:rsid w:val="005F07C7"/>
    <w:rsid w:val="00612C47"/>
    <w:rsid w:val="00620E29"/>
    <w:rsid w:val="00644606"/>
    <w:rsid w:val="00672A6C"/>
    <w:rsid w:val="006F3767"/>
    <w:rsid w:val="00704D44"/>
    <w:rsid w:val="0072122C"/>
    <w:rsid w:val="007832DA"/>
    <w:rsid w:val="007A5493"/>
    <w:rsid w:val="007E3E5C"/>
    <w:rsid w:val="00805806"/>
    <w:rsid w:val="008507AF"/>
    <w:rsid w:val="008519E1"/>
    <w:rsid w:val="008740DE"/>
    <w:rsid w:val="008B2C1F"/>
    <w:rsid w:val="008C1432"/>
    <w:rsid w:val="008D6C55"/>
    <w:rsid w:val="00971ACA"/>
    <w:rsid w:val="00971DE4"/>
    <w:rsid w:val="009A66BD"/>
    <w:rsid w:val="009E6858"/>
    <w:rsid w:val="009F1F56"/>
    <w:rsid w:val="00A655DA"/>
    <w:rsid w:val="00AF7E02"/>
    <w:rsid w:val="00B40C16"/>
    <w:rsid w:val="00B516FC"/>
    <w:rsid w:val="00B704D1"/>
    <w:rsid w:val="00BB4679"/>
    <w:rsid w:val="00BF1F66"/>
    <w:rsid w:val="00BF466A"/>
    <w:rsid w:val="00C248CC"/>
    <w:rsid w:val="00C37AFA"/>
    <w:rsid w:val="00C71C2F"/>
    <w:rsid w:val="00C94000"/>
    <w:rsid w:val="00CA0718"/>
    <w:rsid w:val="00CA7492"/>
    <w:rsid w:val="00CB14CF"/>
    <w:rsid w:val="00CE58FB"/>
    <w:rsid w:val="00CF6430"/>
    <w:rsid w:val="00D20FA9"/>
    <w:rsid w:val="00D536DF"/>
    <w:rsid w:val="00D81F3D"/>
    <w:rsid w:val="00DD3532"/>
    <w:rsid w:val="00E121AA"/>
    <w:rsid w:val="00E70364"/>
    <w:rsid w:val="00E85971"/>
    <w:rsid w:val="00EA3791"/>
    <w:rsid w:val="00EC0593"/>
    <w:rsid w:val="00EE1BD8"/>
    <w:rsid w:val="00EE7624"/>
    <w:rsid w:val="00F3064B"/>
    <w:rsid w:val="00F35BF6"/>
    <w:rsid w:val="00F4274D"/>
    <w:rsid w:val="00F51D3E"/>
    <w:rsid w:val="00F54212"/>
    <w:rsid w:val="00F54AD3"/>
    <w:rsid w:val="00F653FF"/>
    <w:rsid w:val="00F82443"/>
    <w:rsid w:val="00FB57BE"/>
    <w:rsid w:val="00FB6D72"/>
    <w:rsid w:val="00FC5EA8"/>
    <w:rsid w:val="00FE3E56"/>
    <w:rsid w:val="00FF0DC0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2A0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7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A0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7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A0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B7EF57-F07F-5343-A277-968E9E1E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529</Words>
  <Characters>3016</Characters>
  <Application>Microsoft Macintosh Word</Application>
  <DocSecurity>0</DocSecurity>
  <Lines>25</Lines>
  <Paragraphs>7</Paragraphs>
  <ScaleCrop>false</ScaleCrop>
  <Company>University of Pittsburgh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Liu</dc:creator>
  <cp:keywords/>
  <dc:description/>
  <cp:lastModifiedBy>Qing Liu</cp:lastModifiedBy>
  <cp:revision>172</cp:revision>
  <dcterms:created xsi:type="dcterms:W3CDTF">2018-04-21T16:30:00Z</dcterms:created>
  <dcterms:modified xsi:type="dcterms:W3CDTF">2019-04-12T22:27:00Z</dcterms:modified>
</cp:coreProperties>
</file>